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373F" w14:textId="77777777" w:rsidR="00786A3A" w:rsidRPr="00A67E40" w:rsidRDefault="00786A3A" w:rsidP="00786A3A">
      <w:pPr>
        <w:rPr>
          <w:sz w:val="24"/>
          <w:szCs w:val="24"/>
          <w:lang w:val="lt-LT"/>
        </w:rPr>
      </w:pPr>
      <w:r w:rsidRPr="00A67E40">
        <w:rPr>
          <w:sz w:val="24"/>
          <w:szCs w:val="24"/>
          <w:lang w:val="lt-LT"/>
        </w:rPr>
        <w:t>Rokiški</w:t>
      </w:r>
      <w:bookmarkStart w:id="0" w:name="_GoBack"/>
      <w:bookmarkEnd w:id="0"/>
      <w:r w:rsidRPr="00A67E40">
        <w:rPr>
          <w:sz w:val="24"/>
          <w:szCs w:val="24"/>
          <w:lang w:val="lt-LT"/>
        </w:rPr>
        <w:t>o rajono savivaldybės tarybai</w:t>
      </w:r>
    </w:p>
    <w:p w14:paraId="302B3740" w14:textId="77777777" w:rsidR="00786A3A" w:rsidRPr="00A67E40" w:rsidRDefault="00786A3A" w:rsidP="00786A3A">
      <w:pPr>
        <w:jc w:val="both"/>
        <w:rPr>
          <w:sz w:val="24"/>
          <w:szCs w:val="24"/>
          <w:lang w:val="lt-LT"/>
        </w:rPr>
      </w:pPr>
    </w:p>
    <w:p w14:paraId="302B3741" w14:textId="274F189A" w:rsidR="00786A3A" w:rsidRPr="00A67E40" w:rsidRDefault="00786A3A" w:rsidP="00786A3A">
      <w:pPr>
        <w:jc w:val="center"/>
        <w:rPr>
          <w:b/>
          <w:sz w:val="24"/>
          <w:szCs w:val="24"/>
          <w:lang w:val="lt-LT"/>
        </w:rPr>
      </w:pPr>
      <w:r w:rsidRPr="00A67E40">
        <w:rPr>
          <w:b/>
          <w:sz w:val="24"/>
          <w:szCs w:val="24"/>
          <w:lang w:val="lt-LT"/>
        </w:rPr>
        <w:t xml:space="preserve"> SPRENDIMO PROJEKTO „DĖL CENTRALIZUOTAI TIEKIAMŲ ŠILUMOS IR KARŠTO VANDENS KAINŲ DEDAMŲJŲ NUSTATYMO AKCINEI BENDROVEI „ROKIŠKIO KOMUNALININKAS“</w:t>
      </w:r>
      <w:r>
        <w:rPr>
          <w:b/>
          <w:sz w:val="24"/>
          <w:szCs w:val="24"/>
          <w:lang w:val="lt-LT"/>
        </w:rPr>
        <w:t xml:space="preserve">  </w:t>
      </w:r>
      <w:r w:rsidRPr="00A67E40">
        <w:rPr>
          <w:b/>
          <w:sz w:val="24"/>
          <w:szCs w:val="24"/>
          <w:lang w:val="lt-LT"/>
        </w:rPr>
        <w:t xml:space="preserve">“ </w:t>
      </w:r>
    </w:p>
    <w:p w14:paraId="302B3742" w14:textId="77777777" w:rsidR="00786A3A" w:rsidRPr="00A67E40" w:rsidRDefault="00786A3A" w:rsidP="00786A3A">
      <w:pPr>
        <w:jc w:val="center"/>
        <w:rPr>
          <w:b/>
          <w:sz w:val="24"/>
          <w:szCs w:val="24"/>
          <w:lang w:val="lt-LT"/>
        </w:rPr>
      </w:pPr>
    </w:p>
    <w:p w14:paraId="302B3743" w14:textId="77777777" w:rsidR="00786A3A" w:rsidRPr="00A67E40" w:rsidRDefault="00786A3A" w:rsidP="00786A3A">
      <w:pPr>
        <w:jc w:val="center"/>
        <w:rPr>
          <w:sz w:val="24"/>
          <w:szCs w:val="24"/>
          <w:lang w:val="lt-LT"/>
        </w:rPr>
      </w:pPr>
      <w:r w:rsidRPr="00A67E40">
        <w:rPr>
          <w:b/>
          <w:sz w:val="24"/>
          <w:szCs w:val="24"/>
          <w:lang w:val="lt-LT"/>
        </w:rPr>
        <w:t>AIŠKINAMASIS RAŠTAS</w:t>
      </w:r>
    </w:p>
    <w:p w14:paraId="302B3744" w14:textId="77777777" w:rsidR="00786A3A" w:rsidRPr="00A67E40" w:rsidRDefault="00786A3A" w:rsidP="00786A3A">
      <w:pPr>
        <w:ind w:right="197"/>
        <w:jc w:val="center"/>
        <w:rPr>
          <w:b/>
          <w:sz w:val="24"/>
          <w:szCs w:val="24"/>
          <w:lang w:val="lt-LT"/>
        </w:rPr>
      </w:pPr>
    </w:p>
    <w:p w14:paraId="213BDCAF" w14:textId="77777777" w:rsidR="00FE681C" w:rsidRDefault="00786A3A" w:rsidP="00FE681C">
      <w:pPr>
        <w:ind w:firstLine="851"/>
        <w:jc w:val="both"/>
        <w:rPr>
          <w:b/>
          <w:sz w:val="24"/>
          <w:szCs w:val="24"/>
          <w:lang w:val="lt-LT"/>
        </w:rPr>
      </w:pPr>
      <w:r w:rsidRPr="00A67E40">
        <w:rPr>
          <w:b/>
          <w:sz w:val="24"/>
          <w:szCs w:val="24"/>
          <w:lang w:val="lt-LT"/>
        </w:rPr>
        <w:t xml:space="preserve">Sprendimo projekto tikslai ir uždaviniai. </w:t>
      </w:r>
    </w:p>
    <w:p w14:paraId="302B3746" w14:textId="7021373A" w:rsidR="00786A3A" w:rsidRPr="00FE681C" w:rsidRDefault="00786A3A" w:rsidP="00FE681C">
      <w:pPr>
        <w:ind w:firstLine="851"/>
        <w:jc w:val="both"/>
        <w:rPr>
          <w:b/>
          <w:sz w:val="24"/>
          <w:szCs w:val="24"/>
          <w:lang w:val="lt-LT"/>
        </w:rPr>
      </w:pPr>
      <w:r>
        <w:rPr>
          <w:sz w:val="24"/>
          <w:szCs w:val="24"/>
          <w:lang w:val="lt-LT" w:eastAsia="en-GB"/>
        </w:rPr>
        <w:t>2022</w:t>
      </w:r>
      <w:r w:rsidRPr="00C009CF">
        <w:rPr>
          <w:sz w:val="24"/>
          <w:szCs w:val="24"/>
          <w:lang w:val="lt-LT" w:eastAsia="en-GB"/>
        </w:rPr>
        <w:t xml:space="preserve"> m. sausio 1 d.</w:t>
      </w:r>
      <w:r>
        <w:rPr>
          <w:sz w:val="24"/>
          <w:szCs w:val="24"/>
          <w:lang w:val="lt-LT" w:eastAsia="en-GB"/>
        </w:rPr>
        <w:t xml:space="preserve"> baiga galioti Rokiškio rajono s</w:t>
      </w:r>
      <w:r w:rsidRPr="00C009CF">
        <w:rPr>
          <w:sz w:val="24"/>
          <w:szCs w:val="24"/>
          <w:lang w:val="lt-LT" w:eastAsia="en-GB"/>
        </w:rPr>
        <w:t xml:space="preserve">avivaldybės tarybos </w:t>
      </w:r>
      <w:r>
        <w:rPr>
          <w:sz w:val="24"/>
          <w:szCs w:val="24"/>
          <w:lang w:val="lt-LT" w:eastAsia="en-GB"/>
        </w:rPr>
        <w:t>2018</w:t>
      </w:r>
      <w:r w:rsidRPr="00C009CF">
        <w:rPr>
          <w:sz w:val="24"/>
          <w:szCs w:val="24"/>
          <w:lang w:val="lt-LT" w:eastAsia="en-GB"/>
        </w:rPr>
        <w:t xml:space="preserve"> </w:t>
      </w:r>
      <w:r>
        <w:rPr>
          <w:sz w:val="24"/>
          <w:szCs w:val="24"/>
          <w:lang w:val="lt-LT" w:eastAsia="en-GB"/>
        </w:rPr>
        <w:t>m. gruodžio 21</w:t>
      </w:r>
      <w:r w:rsidRPr="00C009CF">
        <w:rPr>
          <w:sz w:val="24"/>
          <w:szCs w:val="24"/>
          <w:lang w:val="lt-LT" w:eastAsia="en-GB"/>
        </w:rPr>
        <w:t xml:space="preserve"> d. </w:t>
      </w:r>
      <w:r>
        <w:rPr>
          <w:sz w:val="24"/>
          <w:szCs w:val="24"/>
          <w:lang w:val="lt-LT" w:eastAsia="en-GB"/>
        </w:rPr>
        <w:t>sprendimu Nr. TS - 277</w:t>
      </w:r>
      <w:r w:rsidRPr="00C009CF">
        <w:rPr>
          <w:sz w:val="24"/>
          <w:szCs w:val="24"/>
          <w:lang w:val="lt-LT" w:eastAsia="en-GB"/>
        </w:rPr>
        <w:t xml:space="preserve"> </w:t>
      </w:r>
      <w:r>
        <w:rPr>
          <w:sz w:val="24"/>
          <w:szCs w:val="24"/>
          <w:lang w:val="lt-LT" w:eastAsia="en-GB"/>
        </w:rPr>
        <w:t xml:space="preserve"> „Dėl </w:t>
      </w:r>
      <w:r w:rsidRPr="00C85557">
        <w:rPr>
          <w:sz w:val="24"/>
          <w:szCs w:val="24"/>
          <w:lang w:val="lt-LT" w:eastAsia="en-GB"/>
        </w:rPr>
        <w:t>centralizuotai tiekiamų šilumos ir karšto vandens bazinės kainos dedamųjų nustatymo</w:t>
      </w:r>
      <w:r>
        <w:rPr>
          <w:sz w:val="24"/>
          <w:szCs w:val="24"/>
          <w:lang w:val="lt-LT" w:eastAsia="en-GB"/>
        </w:rPr>
        <w:t xml:space="preserve"> </w:t>
      </w:r>
      <w:r w:rsidRPr="00C009CF">
        <w:rPr>
          <w:sz w:val="24"/>
          <w:szCs w:val="24"/>
          <w:lang w:val="lt-LT" w:eastAsia="en-GB"/>
        </w:rPr>
        <w:t>AB „Rokiškio</w:t>
      </w:r>
      <w:r>
        <w:rPr>
          <w:sz w:val="24"/>
          <w:szCs w:val="24"/>
          <w:lang w:val="lt-LT" w:eastAsia="en-GB"/>
        </w:rPr>
        <w:t xml:space="preserve"> komunalininkas</w:t>
      </w:r>
      <w:r w:rsidR="00FE681C">
        <w:rPr>
          <w:sz w:val="24"/>
          <w:szCs w:val="24"/>
          <w:lang w:val="lt-LT" w:eastAsia="en-GB"/>
        </w:rPr>
        <w:t>“</w:t>
      </w:r>
      <w:r>
        <w:rPr>
          <w:sz w:val="24"/>
          <w:szCs w:val="24"/>
          <w:lang w:val="lt-LT" w:eastAsia="en-GB"/>
        </w:rPr>
        <w:t xml:space="preserve"> tiekiamos šilumos ir karšto vandens bazinės kainos.  Savivaldybės tarybai teikiamas sprendimo projektas dėl AB „Rokiškio komunalininkas“ naujai apskaičiuotų centralizuotai tiekiamos šilumos ir karšto vandens bazinių kainų naujam laikotarpiui nustatymo. AB „Rokiškio komunalininkas“ šilumą ir karštą vandenį teikia Obelių, Juodupės, Pandėlio ir Kamajų miestelių gyventojams ir (ar) įstaigoms.</w:t>
      </w:r>
    </w:p>
    <w:p w14:paraId="7823E014" w14:textId="77777777" w:rsidR="00FE681C" w:rsidRDefault="00786A3A" w:rsidP="00FE681C">
      <w:pPr>
        <w:ind w:firstLine="851"/>
        <w:jc w:val="both"/>
        <w:rPr>
          <w:sz w:val="24"/>
          <w:szCs w:val="24"/>
          <w:lang w:val="lt-LT"/>
        </w:rPr>
      </w:pPr>
      <w:r w:rsidRPr="00A67E40">
        <w:rPr>
          <w:b/>
          <w:bCs/>
          <w:sz w:val="24"/>
          <w:szCs w:val="24"/>
          <w:lang w:val="lt-LT"/>
        </w:rPr>
        <w:t>Teisinio reguliavimo nuostatos.</w:t>
      </w:r>
      <w:r w:rsidRPr="00A67E40">
        <w:rPr>
          <w:sz w:val="24"/>
          <w:szCs w:val="24"/>
          <w:lang w:val="lt-LT"/>
        </w:rPr>
        <w:t xml:space="preserve"> </w:t>
      </w:r>
    </w:p>
    <w:p w14:paraId="1769E09C" w14:textId="77777777" w:rsidR="00FE681C" w:rsidRDefault="00786A3A" w:rsidP="00FE681C">
      <w:pPr>
        <w:ind w:firstLine="851"/>
        <w:jc w:val="both"/>
        <w:rPr>
          <w:sz w:val="24"/>
          <w:szCs w:val="24"/>
          <w:lang w:val="lt-LT"/>
        </w:rPr>
      </w:pPr>
      <w:r w:rsidRPr="00A66AE1">
        <w:rPr>
          <w:sz w:val="24"/>
          <w:szCs w:val="24"/>
          <w:lang w:val="lt-LT"/>
        </w:rPr>
        <w:t>Lietuvos Respublikos šil</w:t>
      </w:r>
      <w:r>
        <w:rPr>
          <w:sz w:val="24"/>
          <w:szCs w:val="24"/>
          <w:lang w:val="lt-LT"/>
        </w:rPr>
        <w:t xml:space="preserve">umos ūkio įstatymo 32 straipsnio 7 dalies 2 punktas, </w:t>
      </w:r>
      <w:r w:rsidRPr="00A66AE1">
        <w:rPr>
          <w:sz w:val="24"/>
          <w:szCs w:val="24"/>
          <w:lang w:val="lt-LT"/>
        </w:rPr>
        <w:t>Valstybinės kainų ir energetikos kontrolės komisijos 2009 m. liepos 8 d. nutarimu Nr. 03-96 patvirtinta Š</w:t>
      </w:r>
      <w:r>
        <w:rPr>
          <w:sz w:val="24"/>
          <w:szCs w:val="24"/>
          <w:lang w:val="lt-LT"/>
        </w:rPr>
        <w:t>ilumos kainų nustatymo metodika (2021-08-01 galiojanti suvestinė redakcija)</w:t>
      </w:r>
      <w:r w:rsidRPr="00675ADD">
        <w:rPr>
          <w:lang w:val="lt-LT"/>
        </w:rPr>
        <w:t xml:space="preserve"> </w:t>
      </w:r>
      <w:r w:rsidRPr="000D64C5">
        <w:rPr>
          <w:sz w:val="24"/>
          <w:szCs w:val="24"/>
          <w:lang w:val="lt-LT"/>
        </w:rPr>
        <w:t>bei 2009 m. liepos 21 d. nutarimu Nr. O3-106 patvirtinta Karšto v</w:t>
      </w:r>
      <w:r>
        <w:rPr>
          <w:sz w:val="24"/>
          <w:szCs w:val="24"/>
          <w:lang w:val="lt-LT"/>
        </w:rPr>
        <w:t>andens kainų nustatymo metodika numato, kad</w:t>
      </w:r>
      <w:r w:rsidRPr="00675ADD">
        <w:rPr>
          <w:sz w:val="24"/>
          <w:szCs w:val="24"/>
          <w:lang w:val="lt-LT" w:eastAsia="en-GB"/>
        </w:rPr>
        <w:t xml:space="preserve"> savivaldybių taryb</w:t>
      </w:r>
      <w:proofErr w:type="spellStart"/>
      <w:r>
        <w:rPr>
          <w:sz w:val="24"/>
          <w:szCs w:val="24"/>
          <w:lang w:val="lt-LT" w:eastAsia="en-GB"/>
        </w:rPr>
        <w:t>os</w:t>
      </w:r>
      <w:proofErr w:type="spellEnd"/>
      <w:r>
        <w:rPr>
          <w:sz w:val="24"/>
          <w:szCs w:val="24"/>
          <w:lang w:val="lt-LT" w:eastAsia="en-GB"/>
        </w:rPr>
        <w:t xml:space="preserve"> </w:t>
      </w:r>
      <w:r w:rsidRPr="00675ADD">
        <w:rPr>
          <w:sz w:val="24"/>
          <w:szCs w:val="24"/>
          <w:lang w:val="lt-LT" w:eastAsia="en-GB"/>
        </w:rPr>
        <w:t>nustato</w:t>
      </w:r>
      <w:r w:rsidRPr="00C009CF">
        <w:rPr>
          <w:sz w:val="24"/>
          <w:szCs w:val="24"/>
          <w:lang w:val="lt-LT" w:eastAsia="en-GB"/>
        </w:rPr>
        <w:t xml:space="preserve"> </w:t>
      </w:r>
      <w:r w:rsidRPr="00675ADD">
        <w:rPr>
          <w:sz w:val="24"/>
          <w:szCs w:val="24"/>
          <w:lang w:val="lt-LT" w:eastAsia="en-GB"/>
        </w:rPr>
        <w:t>įmonių tiekiamos šilumos bazines ir kasmet perskaičiuojamas šilumos ir karšto vandens kainų dedamąsias kiekvienam šilumos tiekėjui, realizuojančiam mažiau kaip 10 GWh šilumos per metus ir apie tai informuoja Valstybinę energetikos reguliavimo tarybą</w:t>
      </w:r>
      <w:r w:rsidRPr="00C009CF">
        <w:rPr>
          <w:sz w:val="24"/>
          <w:szCs w:val="24"/>
          <w:lang w:val="lt-LT" w:eastAsia="en-GB"/>
        </w:rPr>
        <w:t>.</w:t>
      </w:r>
      <w:r w:rsidRPr="00A67E40">
        <w:rPr>
          <w:sz w:val="24"/>
          <w:szCs w:val="24"/>
          <w:lang w:val="lt-LT"/>
        </w:rPr>
        <w:tab/>
      </w:r>
    </w:p>
    <w:p w14:paraId="79F5058F" w14:textId="77777777" w:rsidR="00FE681C" w:rsidRDefault="00786A3A" w:rsidP="00FE681C">
      <w:pPr>
        <w:ind w:firstLine="851"/>
        <w:jc w:val="both"/>
        <w:rPr>
          <w:sz w:val="24"/>
          <w:szCs w:val="24"/>
          <w:lang w:val="lt-LT"/>
        </w:rPr>
      </w:pPr>
      <w:r w:rsidRPr="00A67E40">
        <w:rPr>
          <w:b/>
          <w:bCs/>
          <w:sz w:val="24"/>
          <w:szCs w:val="24"/>
          <w:lang w:val="lt-LT"/>
        </w:rPr>
        <w:t>Sprendimo projekto esmė.</w:t>
      </w:r>
      <w:r w:rsidRPr="00A67E40">
        <w:rPr>
          <w:sz w:val="24"/>
          <w:szCs w:val="24"/>
          <w:lang w:val="lt-LT"/>
        </w:rPr>
        <w:t xml:space="preserve"> </w:t>
      </w:r>
    </w:p>
    <w:p w14:paraId="302B374B" w14:textId="3452BA17" w:rsidR="00786A3A" w:rsidRDefault="00786A3A" w:rsidP="00FE681C">
      <w:pPr>
        <w:ind w:firstLine="851"/>
        <w:jc w:val="both"/>
        <w:rPr>
          <w:sz w:val="24"/>
          <w:szCs w:val="24"/>
          <w:lang w:val="lt-LT"/>
        </w:rPr>
      </w:pPr>
      <w:r>
        <w:rPr>
          <w:sz w:val="24"/>
          <w:szCs w:val="24"/>
          <w:lang w:val="lt-LT"/>
        </w:rPr>
        <w:t xml:space="preserve">Kadangi Rokiškio rajono savivaldybės tarybos 2018 m. gruodžio 21 d. sprendimu Nr. TS-277 </w:t>
      </w:r>
      <w:r w:rsidRPr="00515293">
        <w:rPr>
          <w:sz w:val="24"/>
          <w:szCs w:val="24"/>
          <w:lang w:val="lt-LT"/>
        </w:rPr>
        <w:t xml:space="preserve"> </w:t>
      </w:r>
      <w:r>
        <w:rPr>
          <w:sz w:val="24"/>
          <w:szCs w:val="24"/>
          <w:lang w:val="lt-LT"/>
        </w:rPr>
        <w:t>„D</w:t>
      </w:r>
      <w:r w:rsidRPr="00515293">
        <w:rPr>
          <w:sz w:val="24"/>
          <w:szCs w:val="24"/>
          <w:lang w:val="lt-LT"/>
        </w:rPr>
        <w:t>ėl centralizuotai tiekiamų šilumos ir karšto vandens kainų dedamųj</w:t>
      </w:r>
      <w:r>
        <w:rPr>
          <w:sz w:val="24"/>
          <w:szCs w:val="24"/>
          <w:lang w:val="lt-LT"/>
        </w:rPr>
        <w:t>ų nustatymo akcinei bendrovei „R</w:t>
      </w:r>
      <w:r w:rsidRPr="00515293">
        <w:rPr>
          <w:sz w:val="24"/>
          <w:szCs w:val="24"/>
          <w:lang w:val="lt-LT"/>
        </w:rPr>
        <w:t>okiškio komunalininkas</w:t>
      </w:r>
      <w:r>
        <w:rPr>
          <w:sz w:val="24"/>
          <w:szCs w:val="24"/>
          <w:lang w:val="lt-LT"/>
        </w:rPr>
        <w:t>“ nustatytų šildymo ir karšto vandens  bazinių kainų taikymo laikas baigiasi 2022 m. sausio 1 d., vadovaujanti</w:t>
      </w:r>
      <w:r w:rsidR="00FE681C">
        <w:rPr>
          <w:sz w:val="24"/>
          <w:szCs w:val="24"/>
          <w:lang w:val="lt-LT"/>
        </w:rPr>
        <w:t>s</w:t>
      </w:r>
      <w:r>
        <w:rPr>
          <w:sz w:val="24"/>
          <w:szCs w:val="24"/>
          <w:lang w:val="lt-LT"/>
        </w:rPr>
        <w:t xml:space="preserve"> Lietuvos Respublikos Šilumos ūkio įstatymo 32 straipsniu, būtina nustatyti pagrindžiant ekonominiais skaičiavimais naujas kainas </w:t>
      </w:r>
      <w:r w:rsidR="00FE681C">
        <w:rPr>
          <w:sz w:val="24"/>
          <w:szCs w:val="24"/>
          <w:lang w:val="lt-LT"/>
        </w:rPr>
        <w:t>ateinančiam</w:t>
      </w:r>
      <w:r>
        <w:rPr>
          <w:sz w:val="24"/>
          <w:szCs w:val="24"/>
          <w:lang w:val="lt-LT"/>
        </w:rPr>
        <w:t xml:space="preserve"> 3</w:t>
      </w:r>
      <w:r w:rsidR="00FE681C" w:rsidRPr="00DC6E3A">
        <w:rPr>
          <w:sz w:val="24"/>
          <w:szCs w:val="24"/>
          <w:lang w:val="lt-LT"/>
        </w:rPr>
        <w:t>–</w:t>
      </w:r>
      <w:r>
        <w:rPr>
          <w:sz w:val="24"/>
          <w:szCs w:val="24"/>
          <w:lang w:val="lt-LT"/>
        </w:rPr>
        <w:t>5 metų periodui. Šilumos ir karšto vandens kainų didėjimas neišvengiamas sparčiai kylant kuro kainoms, darbo užmokesčio sąnaudoms ir kitoms dedamosioms. Detalesnė informacija pateikta AB „Rokiškio komunalininkas‘ aiškinamajame rašte (8 priedas)</w:t>
      </w:r>
    </w:p>
    <w:p w14:paraId="302B374C" w14:textId="77777777" w:rsidR="00786A3A" w:rsidRPr="00675ADD" w:rsidRDefault="00786A3A" w:rsidP="00786A3A">
      <w:pPr>
        <w:tabs>
          <w:tab w:val="left" w:pos="0"/>
        </w:tabs>
        <w:jc w:val="both"/>
        <w:rPr>
          <w:lang w:val="lt-LT"/>
        </w:rPr>
      </w:pPr>
    </w:p>
    <w:p w14:paraId="302B374D" w14:textId="77777777" w:rsidR="00786A3A" w:rsidRPr="00675ADD" w:rsidRDefault="00786A3A" w:rsidP="00786A3A">
      <w:pPr>
        <w:tabs>
          <w:tab w:val="left" w:pos="0"/>
        </w:tabs>
        <w:jc w:val="center"/>
        <w:rPr>
          <w:b/>
          <w:lang w:val="lt-LT"/>
        </w:rPr>
      </w:pPr>
      <w:r w:rsidRPr="00675ADD">
        <w:rPr>
          <w:b/>
          <w:lang w:val="lt-LT"/>
        </w:rPr>
        <w:t>ŠILUMOS KAINOS STRUKTŪRA</w:t>
      </w:r>
    </w:p>
    <w:tbl>
      <w:tblPr>
        <w:tblW w:w="0" w:type="auto"/>
        <w:tblLayout w:type="fixed"/>
        <w:tblCellMar>
          <w:left w:w="30" w:type="dxa"/>
          <w:right w:w="30" w:type="dxa"/>
        </w:tblCellMar>
        <w:tblLook w:val="0000" w:firstRow="0" w:lastRow="0" w:firstColumn="0" w:lastColumn="0" w:noHBand="0" w:noVBand="0"/>
      </w:tblPr>
      <w:tblGrid>
        <w:gridCol w:w="4425"/>
        <w:gridCol w:w="708"/>
        <w:gridCol w:w="1134"/>
        <w:gridCol w:w="426"/>
        <w:gridCol w:w="1275"/>
        <w:gridCol w:w="709"/>
      </w:tblGrid>
      <w:tr w:rsidR="00786A3A" w:rsidRPr="00D41DD8" w14:paraId="302B3753" w14:textId="77777777" w:rsidTr="00F938B2">
        <w:trPr>
          <w:trHeight w:val="542"/>
        </w:trPr>
        <w:tc>
          <w:tcPr>
            <w:tcW w:w="4425" w:type="dxa"/>
            <w:tcBorders>
              <w:top w:val="single" w:sz="6" w:space="0" w:color="auto"/>
              <w:left w:val="single" w:sz="6" w:space="0" w:color="auto"/>
              <w:bottom w:val="nil"/>
              <w:right w:val="single" w:sz="6" w:space="0" w:color="auto"/>
            </w:tcBorders>
          </w:tcPr>
          <w:p w14:paraId="302B374E" w14:textId="77777777" w:rsidR="00786A3A" w:rsidRPr="00D41DD8" w:rsidRDefault="00786A3A" w:rsidP="00F938B2">
            <w:pPr>
              <w:autoSpaceDE w:val="0"/>
              <w:autoSpaceDN w:val="0"/>
              <w:adjustRightInd w:val="0"/>
              <w:jc w:val="both"/>
              <w:rPr>
                <w:lang w:val="lt"/>
              </w:rPr>
            </w:pPr>
          </w:p>
        </w:tc>
        <w:tc>
          <w:tcPr>
            <w:tcW w:w="1842" w:type="dxa"/>
            <w:gridSpan w:val="2"/>
            <w:tcBorders>
              <w:top w:val="single" w:sz="6" w:space="0" w:color="auto"/>
              <w:left w:val="single" w:sz="6" w:space="0" w:color="auto"/>
              <w:bottom w:val="single" w:sz="6" w:space="0" w:color="auto"/>
              <w:right w:val="single" w:sz="6" w:space="0" w:color="auto"/>
            </w:tcBorders>
          </w:tcPr>
          <w:p w14:paraId="302B374F" w14:textId="77777777" w:rsidR="00786A3A" w:rsidRPr="00D41DD8" w:rsidRDefault="00786A3A" w:rsidP="00F938B2">
            <w:pPr>
              <w:autoSpaceDE w:val="0"/>
              <w:autoSpaceDN w:val="0"/>
              <w:adjustRightInd w:val="0"/>
              <w:jc w:val="center"/>
              <w:rPr>
                <w:lang w:val="lt"/>
              </w:rPr>
            </w:pPr>
            <w:r w:rsidRPr="00D41DD8">
              <w:rPr>
                <w:lang w:val="lt"/>
              </w:rPr>
              <w:t>Planuojamas laikotarpis</w:t>
            </w:r>
          </w:p>
        </w:tc>
        <w:tc>
          <w:tcPr>
            <w:tcW w:w="1701" w:type="dxa"/>
            <w:gridSpan w:val="2"/>
            <w:tcBorders>
              <w:top w:val="single" w:sz="4" w:space="0" w:color="auto"/>
              <w:bottom w:val="single" w:sz="4" w:space="0" w:color="auto"/>
              <w:right w:val="single" w:sz="4" w:space="0" w:color="auto"/>
            </w:tcBorders>
            <w:shd w:val="clear" w:color="auto" w:fill="auto"/>
          </w:tcPr>
          <w:p w14:paraId="302B3750" w14:textId="77777777" w:rsidR="00786A3A" w:rsidRPr="00D41DD8" w:rsidRDefault="00786A3A" w:rsidP="00F938B2">
            <w:pPr>
              <w:jc w:val="center"/>
              <w:rPr>
                <w:lang w:val="lt"/>
              </w:rPr>
            </w:pPr>
            <w:r w:rsidRPr="00D41DD8">
              <w:rPr>
                <w:lang w:val="lt"/>
              </w:rPr>
              <w:t>Esama kaina</w:t>
            </w:r>
          </w:p>
        </w:tc>
        <w:tc>
          <w:tcPr>
            <w:tcW w:w="709" w:type="dxa"/>
            <w:tcBorders>
              <w:top w:val="single" w:sz="4" w:space="0" w:color="auto"/>
              <w:bottom w:val="single" w:sz="4" w:space="0" w:color="auto"/>
              <w:right w:val="single" w:sz="4" w:space="0" w:color="auto"/>
            </w:tcBorders>
            <w:shd w:val="clear" w:color="auto" w:fill="auto"/>
          </w:tcPr>
          <w:p w14:paraId="302B3751" w14:textId="77777777" w:rsidR="00786A3A" w:rsidRPr="00D41DD8" w:rsidRDefault="00786A3A" w:rsidP="00F938B2">
            <w:pPr>
              <w:jc w:val="center"/>
              <w:rPr>
                <w:lang w:val="lt"/>
              </w:rPr>
            </w:pPr>
            <w:r w:rsidRPr="00D41DD8">
              <w:rPr>
                <w:lang w:val="lt"/>
              </w:rPr>
              <w:t>Pokytis</w:t>
            </w:r>
          </w:p>
          <w:p w14:paraId="302B3752" w14:textId="77777777" w:rsidR="00786A3A" w:rsidRPr="00D41DD8" w:rsidRDefault="00786A3A" w:rsidP="00F938B2">
            <w:pPr>
              <w:jc w:val="center"/>
              <w:rPr>
                <w:lang w:val="lt"/>
              </w:rPr>
            </w:pPr>
            <w:r w:rsidRPr="00D41DD8">
              <w:rPr>
                <w:lang w:val="lt"/>
              </w:rPr>
              <w:t>ct/kWh</w:t>
            </w:r>
          </w:p>
        </w:tc>
      </w:tr>
      <w:tr w:rsidR="00786A3A" w:rsidRPr="00D41DD8" w14:paraId="302B375A" w14:textId="77777777" w:rsidTr="00F938B2">
        <w:trPr>
          <w:trHeight w:val="247"/>
        </w:trPr>
        <w:tc>
          <w:tcPr>
            <w:tcW w:w="4425" w:type="dxa"/>
            <w:tcBorders>
              <w:top w:val="nil"/>
              <w:left w:val="single" w:sz="6" w:space="0" w:color="auto"/>
              <w:bottom w:val="single" w:sz="6" w:space="0" w:color="auto"/>
              <w:right w:val="single" w:sz="6" w:space="0" w:color="auto"/>
            </w:tcBorders>
          </w:tcPr>
          <w:p w14:paraId="302B3754" w14:textId="77777777" w:rsidR="00786A3A" w:rsidRPr="00D41DD8" w:rsidRDefault="00786A3A" w:rsidP="00F938B2">
            <w:pPr>
              <w:autoSpaceDE w:val="0"/>
              <w:autoSpaceDN w:val="0"/>
              <w:adjustRightInd w:val="0"/>
              <w:jc w:val="both"/>
              <w:rPr>
                <w:lang w:val="lt"/>
              </w:rPr>
            </w:pPr>
          </w:p>
        </w:tc>
        <w:tc>
          <w:tcPr>
            <w:tcW w:w="708" w:type="dxa"/>
            <w:tcBorders>
              <w:top w:val="single" w:sz="6" w:space="0" w:color="auto"/>
              <w:left w:val="single" w:sz="6" w:space="0" w:color="auto"/>
              <w:bottom w:val="single" w:sz="6" w:space="0" w:color="auto"/>
              <w:right w:val="single" w:sz="6" w:space="0" w:color="auto"/>
            </w:tcBorders>
          </w:tcPr>
          <w:p w14:paraId="302B3755" w14:textId="77777777" w:rsidR="00786A3A" w:rsidRPr="00D41DD8" w:rsidRDefault="00786A3A" w:rsidP="00F938B2">
            <w:pPr>
              <w:autoSpaceDE w:val="0"/>
              <w:autoSpaceDN w:val="0"/>
              <w:adjustRightInd w:val="0"/>
              <w:jc w:val="center"/>
              <w:rPr>
                <w:lang w:val="lt"/>
              </w:rPr>
            </w:pPr>
            <w:r w:rsidRPr="00D41DD8">
              <w:rPr>
                <w:lang w:val="lt"/>
              </w:rPr>
              <w:t>%</w:t>
            </w:r>
          </w:p>
        </w:tc>
        <w:tc>
          <w:tcPr>
            <w:tcW w:w="1134" w:type="dxa"/>
            <w:tcBorders>
              <w:top w:val="single" w:sz="6" w:space="0" w:color="auto"/>
              <w:left w:val="single" w:sz="6" w:space="0" w:color="auto"/>
              <w:bottom w:val="single" w:sz="6" w:space="0" w:color="auto"/>
              <w:right w:val="single" w:sz="6" w:space="0" w:color="auto"/>
            </w:tcBorders>
          </w:tcPr>
          <w:p w14:paraId="302B3756" w14:textId="77777777" w:rsidR="00786A3A" w:rsidRPr="00D41DD8" w:rsidRDefault="00786A3A" w:rsidP="00F938B2">
            <w:pPr>
              <w:autoSpaceDE w:val="0"/>
              <w:autoSpaceDN w:val="0"/>
              <w:adjustRightInd w:val="0"/>
              <w:jc w:val="center"/>
              <w:rPr>
                <w:lang w:val="lt"/>
              </w:rPr>
            </w:pPr>
            <w:r w:rsidRPr="00D41DD8">
              <w:rPr>
                <w:lang w:val="lt"/>
              </w:rPr>
              <w:t>Eur ct/kWh</w:t>
            </w:r>
          </w:p>
        </w:tc>
        <w:tc>
          <w:tcPr>
            <w:tcW w:w="426" w:type="dxa"/>
            <w:tcBorders>
              <w:top w:val="single" w:sz="4" w:space="0" w:color="auto"/>
              <w:bottom w:val="single" w:sz="4" w:space="0" w:color="auto"/>
              <w:right w:val="single" w:sz="4" w:space="0" w:color="auto"/>
            </w:tcBorders>
            <w:shd w:val="clear" w:color="auto" w:fill="auto"/>
          </w:tcPr>
          <w:p w14:paraId="302B3757" w14:textId="77777777" w:rsidR="00786A3A" w:rsidRPr="00D41DD8" w:rsidRDefault="00786A3A" w:rsidP="00F938B2">
            <w:pPr>
              <w:jc w:val="center"/>
              <w:rPr>
                <w:lang w:val="en-US"/>
              </w:rPr>
            </w:pPr>
            <w:r w:rsidRPr="00D41DD8">
              <w:rPr>
                <w:lang w:val="en-US"/>
              </w:rPr>
              <w:t>%</w:t>
            </w:r>
          </w:p>
        </w:tc>
        <w:tc>
          <w:tcPr>
            <w:tcW w:w="1275" w:type="dxa"/>
            <w:tcBorders>
              <w:top w:val="single" w:sz="4" w:space="0" w:color="auto"/>
              <w:bottom w:val="single" w:sz="4" w:space="0" w:color="auto"/>
              <w:right w:val="single" w:sz="4" w:space="0" w:color="auto"/>
            </w:tcBorders>
            <w:shd w:val="clear" w:color="auto" w:fill="auto"/>
          </w:tcPr>
          <w:p w14:paraId="302B3758" w14:textId="77777777" w:rsidR="00786A3A" w:rsidRPr="00D41DD8" w:rsidRDefault="00786A3A" w:rsidP="00F938B2">
            <w:pPr>
              <w:jc w:val="center"/>
              <w:rPr>
                <w:lang w:val="lt"/>
              </w:rPr>
            </w:pPr>
            <w:r w:rsidRPr="00D41DD8">
              <w:rPr>
                <w:lang w:val="lt"/>
              </w:rPr>
              <w:t>Eur ct/kWh</w:t>
            </w:r>
          </w:p>
        </w:tc>
        <w:tc>
          <w:tcPr>
            <w:tcW w:w="709" w:type="dxa"/>
            <w:tcBorders>
              <w:top w:val="single" w:sz="4" w:space="0" w:color="auto"/>
              <w:bottom w:val="single" w:sz="4" w:space="0" w:color="auto"/>
              <w:right w:val="single" w:sz="4" w:space="0" w:color="auto"/>
            </w:tcBorders>
            <w:shd w:val="clear" w:color="auto" w:fill="auto"/>
          </w:tcPr>
          <w:p w14:paraId="302B3759" w14:textId="77777777" w:rsidR="00786A3A" w:rsidRPr="00D41DD8" w:rsidRDefault="00786A3A" w:rsidP="00F938B2">
            <w:pPr>
              <w:jc w:val="center"/>
              <w:rPr>
                <w:lang w:val="lt"/>
              </w:rPr>
            </w:pPr>
            <w:r w:rsidRPr="00D41DD8">
              <w:rPr>
                <w:lang w:val="lt"/>
              </w:rPr>
              <w:t>+/-</w:t>
            </w:r>
          </w:p>
        </w:tc>
      </w:tr>
      <w:tr w:rsidR="00786A3A" w:rsidRPr="00D41DD8" w14:paraId="302B3761"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5B" w14:textId="77777777" w:rsidR="00786A3A" w:rsidRPr="00D41DD8" w:rsidRDefault="00786A3A" w:rsidP="00F938B2">
            <w:pPr>
              <w:autoSpaceDE w:val="0"/>
              <w:autoSpaceDN w:val="0"/>
              <w:adjustRightInd w:val="0"/>
              <w:jc w:val="both"/>
              <w:rPr>
                <w:lang w:val="lt"/>
              </w:rPr>
            </w:pPr>
            <w:r w:rsidRPr="00D41DD8">
              <w:rPr>
                <w:lang w:val="lt"/>
              </w:rPr>
              <w:t>Kuro sąnaudos</w:t>
            </w:r>
          </w:p>
        </w:tc>
        <w:tc>
          <w:tcPr>
            <w:tcW w:w="708" w:type="dxa"/>
            <w:tcBorders>
              <w:top w:val="single" w:sz="6" w:space="0" w:color="auto"/>
              <w:left w:val="single" w:sz="6" w:space="0" w:color="auto"/>
              <w:bottom w:val="single" w:sz="6" w:space="0" w:color="auto"/>
              <w:right w:val="single" w:sz="6" w:space="0" w:color="auto"/>
            </w:tcBorders>
          </w:tcPr>
          <w:p w14:paraId="302B375C" w14:textId="77777777" w:rsidR="00786A3A" w:rsidRPr="00D41DD8" w:rsidRDefault="00786A3A" w:rsidP="00F938B2">
            <w:pPr>
              <w:autoSpaceDE w:val="0"/>
              <w:autoSpaceDN w:val="0"/>
              <w:adjustRightInd w:val="0"/>
              <w:jc w:val="center"/>
              <w:rPr>
                <w:lang w:val="lt"/>
              </w:rPr>
            </w:pPr>
            <w:r w:rsidRPr="00D41DD8">
              <w:rPr>
                <w:lang w:val="lt"/>
              </w:rPr>
              <w:t>28</w:t>
            </w:r>
          </w:p>
        </w:tc>
        <w:tc>
          <w:tcPr>
            <w:tcW w:w="1134" w:type="dxa"/>
            <w:tcBorders>
              <w:top w:val="single" w:sz="6" w:space="0" w:color="auto"/>
              <w:left w:val="single" w:sz="6" w:space="0" w:color="auto"/>
              <w:bottom w:val="single" w:sz="6" w:space="0" w:color="auto"/>
              <w:right w:val="single" w:sz="6" w:space="0" w:color="auto"/>
            </w:tcBorders>
          </w:tcPr>
          <w:p w14:paraId="302B375D" w14:textId="77777777" w:rsidR="00786A3A" w:rsidRPr="00D41DD8" w:rsidRDefault="00786A3A" w:rsidP="00F938B2">
            <w:pPr>
              <w:autoSpaceDE w:val="0"/>
              <w:autoSpaceDN w:val="0"/>
              <w:adjustRightInd w:val="0"/>
              <w:jc w:val="center"/>
              <w:rPr>
                <w:lang w:val="lt"/>
              </w:rPr>
            </w:pPr>
            <w:r w:rsidRPr="00D41DD8">
              <w:rPr>
                <w:lang w:val="lt"/>
              </w:rPr>
              <w:t>3,37</w:t>
            </w:r>
          </w:p>
        </w:tc>
        <w:tc>
          <w:tcPr>
            <w:tcW w:w="426" w:type="dxa"/>
            <w:tcBorders>
              <w:top w:val="single" w:sz="4" w:space="0" w:color="auto"/>
              <w:bottom w:val="single" w:sz="4" w:space="0" w:color="auto"/>
              <w:right w:val="single" w:sz="4" w:space="0" w:color="auto"/>
            </w:tcBorders>
            <w:shd w:val="clear" w:color="auto" w:fill="auto"/>
          </w:tcPr>
          <w:p w14:paraId="302B375E" w14:textId="77777777" w:rsidR="00786A3A" w:rsidRPr="00D41DD8" w:rsidRDefault="00786A3A" w:rsidP="00F938B2">
            <w:pPr>
              <w:jc w:val="center"/>
              <w:rPr>
                <w:lang w:val="lt"/>
              </w:rPr>
            </w:pPr>
            <w:r w:rsidRPr="00D41DD8">
              <w:rPr>
                <w:lang w:val="lt"/>
              </w:rPr>
              <w:t>30</w:t>
            </w:r>
          </w:p>
        </w:tc>
        <w:tc>
          <w:tcPr>
            <w:tcW w:w="1275" w:type="dxa"/>
            <w:tcBorders>
              <w:top w:val="single" w:sz="4" w:space="0" w:color="auto"/>
              <w:bottom w:val="single" w:sz="4" w:space="0" w:color="auto"/>
              <w:right w:val="single" w:sz="4" w:space="0" w:color="auto"/>
            </w:tcBorders>
            <w:shd w:val="clear" w:color="auto" w:fill="auto"/>
          </w:tcPr>
          <w:p w14:paraId="302B375F" w14:textId="77777777" w:rsidR="00786A3A" w:rsidRPr="00D41DD8" w:rsidRDefault="00786A3A" w:rsidP="00F938B2">
            <w:pPr>
              <w:jc w:val="center"/>
              <w:rPr>
                <w:lang w:val="lt"/>
              </w:rPr>
            </w:pPr>
            <w:r w:rsidRPr="00D41DD8">
              <w:rPr>
                <w:lang w:val="lt"/>
              </w:rPr>
              <w:t>2,87</w:t>
            </w:r>
          </w:p>
        </w:tc>
        <w:tc>
          <w:tcPr>
            <w:tcW w:w="709" w:type="dxa"/>
            <w:tcBorders>
              <w:top w:val="single" w:sz="4" w:space="0" w:color="auto"/>
              <w:bottom w:val="single" w:sz="4" w:space="0" w:color="auto"/>
              <w:right w:val="single" w:sz="4" w:space="0" w:color="auto"/>
            </w:tcBorders>
            <w:shd w:val="clear" w:color="auto" w:fill="auto"/>
          </w:tcPr>
          <w:p w14:paraId="302B3760" w14:textId="77777777" w:rsidR="00786A3A" w:rsidRPr="00D41DD8" w:rsidRDefault="00786A3A" w:rsidP="00F938B2">
            <w:pPr>
              <w:jc w:val="center"/>
              <w:rPr>
                <w:lang w:val="lt"/>
              </w:rPr>
            </w:pPr>
            <w:r w:rsidRPr="00D41DD8">
              <w:rPr>
                <w:lang w:val="lt"/>
              </w:rPr>
              <w:t>0,50</w:t>
            </w:r>
          </w:p>
        </w:tc>
      </w:tr>
      <w:tr w:rsidR="00786A3A" w:rsidRPr="00D41DD8" w14:paraId="302B3768"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62" w14:textId="77777777" w:rsidR="00786A3A" w:rsidRPr="00D41DD8" w:rsidRDefault="00786A3A" w:rsidP="00F938B2">
            <w:pPr>
              <w:autoSpaceDE w:val="0"/>
              <w:autoSpaceDN w:val="0"/>
              <w:adjustRightInd w:val="0"/>
              <w:jc w:val="both"/>
              <w:rPr>
                <w:lang w:val="lt"/>
              </w:rPr>
            </w:pPr>
            <w:r w:rsidRPr="00D41DD8">
              <w:rPr>
                <w:lang w:val="lt"/>
              </w:rPr>
              <w:t>Kitos kintamosios sąnaudos (vanduo, elektra)</w:t>
            </w:r>
          </w:p>
        </w:tc>
        <w:tc>
          <w:tcPr>
            <w:tcW w:w="708" w:type="dxa"/>
            <w:tcBorders>
              <w:top w:val="single" w:sz="6" w:space="0" w:color="auto"/>
              <w:left w:val="single" w:sz="6" w:space="0" w:color="auto"/>
              <w:bottom w:val="single" w:sz="6" w:space="0" w:color="auto"/>
              <w:right w:val="single" w:sz="6" w:space="0" w:color="auto"/>
            </w:tcBorders>
          </w:tcPr>
          <w:p w14:paraId="302B3763" w14:textId="77777777" w:rsidR="00786A3A" w:rsidRPr="00D41DD8" w:rsidRDefault="00786A3A" w:rsidP="00F938B2">
            <w:pPr>
              <w:autoSpaceDE w:val="0"/>
              <w:autoSpaceDN w:val="0"/>
              <w:adjustRightInd w:val="0"/>
              <w:jc w:val="center"/>
              <w:rPr>
                <w:lang w:val="lt"/>
              </w:rPr>
            </w:pPr>
            <w:r w:rsidRPr="00D41DD8">
              <w:rPr>
                <w:lang w:val="lt"/>
              </w:rPr>
              <w:t>7</w:t>
            </w:r>
          </w:p>
        </w:tc>
        <w:tc>
          <w:tcPr>
            <w:tcW w:w="1134" w:type="dxa"/>
            <w:tcBorders>
              <w:top w:val="single" w:sz="4" w:space="0" w:color="auto"/>
              <w:left w:val="single" w:sz="6" w:space="0" w:color="auto"/>
              <w:bottom w:val="single" w:sz="6" w:space="0" w:color="auto"/>
              <w:right w:val="single" w:sz="6" w:space="0" w:color="auto"/>
            </w:tcBorders>
          </w:tcPr>
          <w:p w14:paraId="302B3764" w14:textId="77777777" w:rsidR="00786A3A" w:rsidRPr="00D41DD8" w:rsidRDefault="00786A3A" w:rsidP="00F938B2">
            <w:pPr>
              <w:autoSpaceDE w:val="0"/>
              <w:autoSpaceDN w:val="0"/>
              <w:adjustRightInd w:val="0"/>
              <w:jc w:val="center"/>
              <w:rPr>
                <w:lang w:val="lt"/>
              </w:rPr>
            </w:pPr>
            <w:r w:rsidRPr="00D41DD8">
              <w:rPr>
                <w:lang w:val="lt"/>
              </w:rPr>
              <w:t>0,82</w:t>
            </w:r>
          </w:p>
        </w:tc>
        <w:tc>
          <w:tcPr>
            <w:tcW w:w="426" w:type="dxa"/>
            <w:tcBorders>
              <w:top w:val="single" w:sz="4" w:space="0" w:color="auto"/>
              <w:bottom w:val="single" w:sz="4" w:space="0" w:color="auto"/>
              <w:right w:val="single" w:sz="4" w:space="0" w:color="auto"/>
            </w:tcBorders>
            <w:shd w:val="clear" w:color="auto" w:fill="auto"/>
          </w:tcPr>
          <w:p w14:paraId="302B3765" w14:textId="77777777" w:rsidR="00786A3A" w:rsidRPr="00D41DD8" w:rsidRDefault="00786A3A" w:rsidP="00F938B2">
            <w:pPr>
              <w:jc w:val="center"/>
              <w:rPr>
                <w:lang w:val="lt"/>
              </w:rPr>
            </w:pPr>
            <w:r w:rsidRPr="00D41DD8">
              <w:rPr>
                <w:lang w:val="lt"/>
              </w:rPr>
              <w:t>3</w:t>
            </w:r>
          </w:p>
        </w:tc>
        <w:tc>
          <w:tcPr>
            <w:tcW w:w="1275" w:type="dxa"/>
            <w:tcBorders>
              <w:top w:val="single" w:sz="4" w:space="0" w:color="auto"/>
              <w:bottom w:val="single" w:sz="4" w:space="0" w:color="auto"/>
              <w:right w:val="single" w:sz="4" w:space="0" w:color="auto"/>
            </w:tcBorders>
            <w:shd w:val="clear" w:color="auto" w:fill="auto"/>
          </w:tcPr>
          <w:p w14:paraId="302B3766" w14:textId="77777777" w:rsidR="00786A3A" w:rsidRPr="00D41DD8" w:rsidRDefault="00786A3A" w:rsidP="00F938B2">
            <w:pPr>
              <w:jc w:val="center"/>
              <w:rPr>
                <w:lang w:val="lt"/>
              </w:rPr>
            </w:pPr>
            <w:r w:rsidRPr="00D41DD8">
              <w:rPr>
                <w:lang w:val="lt"/>
              </w:rPr>
              <w:t>0,26</w:t>
            </w:r>
          </w:p>
        </w:tc>
        <w:tc>
          <w:tcPr>
            <w:tcW w:w="709" w:type="dxa"/>
            <w:tcBorders>
              <w:top w:val="single" w:sz="4" w:space="0" w:color="auto"/>
              <w:bottom w:val="single" w:sz="4" w:space="0" w:color="auto"/>
              <w:right w:val="single" w:sz="4" w:space="0" w:color="auto"/>
            </w:tcBorders>
            <w:shd w:val="clear" w:color="auto" w:fill="auto"/>
          </w:tcPr>
          <w:p w14:paraId="302B3767" w14:textId="77777777" w:rsidR="00786A3A" w:rsidRPr="00D41DD8" w:rsidRDefault="00786A3A" w:rsidP="00F938B2">
            <w:pPr>
              <w:jc w:val="center"/>
              <w:rPr>
                <w:lang w:val="lt"/>
              </w:rPr>
            </w:pPr>
            <w:r w:rsidRPr="00D41DD8">
              <w:rPr>
                <w:lang w:val="lt"/>
              </w:rPr>
              <w:t>0,56</w:t>
            </w:r>
          </w:p>
        </w:tc>
      </w:tr>
      <w:tr w:rsidR="00786A3A" w:rsidRPr="00D41DD8" w14:paraId="302B376F"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69" w14:textId="77777777" w:rsidR="00786A3A" w:rsidRPr="00D41DD8" w:rsidRDefault="00786A3A" w:rsidP="00F938B2">
            <w:pPr>
              <w:autoSpaceDE w:val="0"/>
              <w:autoSpaceDN w:val="0"/>
              <w:adjustRightInd w:val="0"/>
              <w:jc w:val="both"/>
              <w:rPr>
                <w:lang w:val="lt"/>
              </w:rPr>
            </w:pPr>
            <w:r w:rsidRPr="00D41DD8">
              <w:rPr>
                <w:lang w:val="lt"/>
              </w:rPr>
              <w:t>Remonto ir aptarnavimo sąnaudos</w:t>
            </w:r>
          </w:p>
        </w:tc>
        <w:tc>
          <w:tcPr>
            <w:tcW w:w="708" w:type="dxa"/>
            <w:tcBorders>
              <w:top w:val="single" w:sz="6" w:space="0" w:color="auto"/>
              <w:left w:val="single" w:sz="6" w:space="0" w:color="auto"/>
              <w:bottom w:val="single" w:sz="6" w:space="0" w:color="auto"/>
              <w:right w:val="single" w:sz="6" w:space="0" w:color="auto"/>
            </w:tcBorders>
          </w:tcPr>
          <w:p w14:paraId="302B376A" w14:textId="77777777" w:rsidR="00786A3A" w:rsidRPr="00D41DD8" w:rsidRDefault="00786A3A" w:rsidP="00F938B2">
            <w:pPr>
              <w:autoSpaceDE w:val="0"/>
              <w:autoSpaceDN w:val="0"/>
              <w:adjustRightInd w:val="0"/>
              <w:jc w:val="center"/>
              <w:rPr>
                <w:lang w:val="lt"/>
              </w:rPr>
            </w:pPr>
            <w:r w:rsidRPr="00D41DD8">
              <w:rPr>
                <w:lang w:val="lt"/>
              </w:rPr>
              <w:t>7</w:t>
            </w:r>
          </w:p>
        </w:tc>
        <w:tc>
          <w:tcPr>
            <w:tcW w:w="1134" w:type="dxa"/>
            <w:tcBorders>
              <w:top w:val="single" w:sz="6" w:space="0" w:color="auto"/>
              <w:left w:val="single" w:sz="6" w:space="0" w:color="auto"/>
              <w:bottom w:val="single" w:sz="6" w:space="0" w:color="auto"/>
              <w:right w:val="single" w:sz="6" w:space="0" w:color="auto"/>
            </w:tcBorders>
          </w:tcPr>
          <w:p w14:paraId="302B376B" w14:textId="77777777" w:rsidR="00786A3A" w:rsidRPr="00D41DD8" w:rsidRDefault="00786A3A" w:rsidP="00F938B2">
            <w:pPr>
              <w:autoSpaceDE w:val="0"/>
              <w:autoSpaceDN w:val="0"/>
              <w:adjustRightInd w:val="0"/>
              <w:jc w:val="center"/>
              <w:rPr>
                <w:lang w:val="lt"/>
              </w:rPr>
            </w:pPr>
            <w:r w:rsidRPr="00D41DD8">
              <w:rPr>
                <w:lang w:val="lt"/>
              </w:rPr>
              <w:t>0,85</w:t>
            </w:r>
          </w:p>
        </w:tc>
        <w:tc>
          <w:tcPr>
            <w:tcW w:w="426" w:type="dxa"/>
            <w:tcBorders>
              <w:top w:val="single" w:sz="4" w:space="0" w:color="auto"/>
              <w:bottom w:val="single" w:sz="4" w:space="0" w:color="auto"/>
              <w:right w:val="single" w:sz="4" w:space="0" w:color="auto"/>
            </w:tcBorders>
            <w:shd w:val="clear" w:color="auto" w:fill="auto"/>
          </w:tcPr>
          <w:p w14:paraId="302B376C" w14:textId="77777777" w:rsidR="00786A3A" w:rsidRPr="00D41DD8" w:rsidRDefault="00786A3A" w:rsidP="00F938B2">
            <w:pPr>
              <w:jc w:val="center"/>
              <w:rPr>
                <w:lang w:val="lt"/>
              </w:rPr>
            </w:pPr>
            <w:r w:rsidRPr="00D41DD8">
              <w:rPr>
                <w:lang w:val="lt"/>
              </w:rPr>
              <w:t>4</w:t>
            </w:r>
          </w:p>
        </w:tc>
        <w:tc>
          <w:tcPr>
            <w:tcW w:w="1275" w:type="dxa"/>
            <w:tcBorders>
              <w:top w:val="single" w:sz="4" w:space="0" w:color="auto"/>
              <w:bottom w:val="single" w:sz="4" w:space="0" w:color="auto"/>
              <w:right w:val="single" w:sz="4" w:space="0" w:color="auto"/>
            </w:tcBorders>
            <w:shd w:val="clear" w:color="auto" w:fill="auto"/>
          </w:tcPr>
          <w:p w14:paraId="302B376D" w14:textId="77777777" w:rsidR="00786A3A" w:rsidRPr="00D41DD8" w:rsidRDefault="00786A3A" w:rsidP="00F938B2">
            <w:pPr>
              <w:jc w:val="center"/>
              <w:rPr>
                <w:lang w:val="lt"/>
              </w:rPr>
            </w:pPr>
            <w:r w:rsidRPr="00D41DD8">
              <w:rPr>
                <w:lang w:val="lt"/>
              </w:rPr>
              <w:t>0,42</w:t>
            </w:r>
          </w:p>
        </w:tc>
        <w:tc>
          <w:tcPr>
            <w:tcW w:w="709" w:type="dxa"/>
            <w:tcBorders>
              <w:top w:val="single" w:sz="4" w:space="0" w:color="auto"/>
              <w:bottom w:val="single" w:sz="4" w:space="0" w:color="auto"/>
              <w:right w:val="single" w:sz="4" w:space="0" w:color="auto"/>
            </w:tcBorders>
            <w:shd w:val="clear" w:color="auto" w:fill="auto"/>
          </w:tcPr>
          <w:p w14:paraId="302B376E" w14:textId="77777777" w:rsidR="00786A3A" w:rsidRPr="00D41DD8" w:rsidRDefault="00786A3A" w:rsidP="00F938B2">
            <w:pPr>
              <w:jc w:val="center"/>
              <w:rPr>
                <w:lang w:val="lt"/>
              </w:rPr>
            </w:pPr>
            <w:r w:rsidRPr="00D41DD8">
              <w:rPr>
                <w:lang w:val="lt"/>
              </w:rPr>
              <w:t>0,43</w:t>
            </w:r>
          </w:p>
        </w:tc>
      </w:tr>
      <w:tr w:rsidR="00786A3A" w:rsidRPr="00D41DD8" w14:paraId="302B3776"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70" w14:textId="77777777" w:rsidR="00786A3A" w:rsidRPr="00D41DD8" w:rsidRDefault="00786A3A" w:rsidP="00F938B2">
            <w:pPr>
              <w:autoSpaceDE w:val="0"/>
              <w:autoSpaceDN w:val="0"/>
              <w:adjustRightInd w:val="0"/>
              <w:jc w:val="both"/>
              <w:rPr>
                <w:lang w:val="lt"/>
              </w:rPr>
            </w:pPr>
            <w:r w:rsidRPr="00D41DD8">
              <w:rPr>
                <w:lang w:val="lt"/>
              </w:rPr>
              <w:t>Nusidėvėjimo sąnaudos</w:t>
            </w:r>
          </w:p>
        </w:tc>
        <w:tc>
          <w:tcPr>
            <w:tcW w:w="708" w:type="dxa"/>
            <w:tcBorders>
              <w:top w:val="single" w:sz="6" w:space="0" w:color="auto"/>
              <w:left w:val="single" w:sz="6" w:space="0" w:color="auto"/>
              <w:bottom w:val="single" w:sz="6" w:space="0" w:color="auto"/>
              <w:right w:val="single" w:sz="6" w:space="0" w:color="auto"/>
            </w:tcBorders>
          </w:tcPr>
          <w:p w14:paraId="302B3771" w14:textId="77777777" w:rsidR="00786A3A" w:rsidRPr="00D41DD8" w:rsidRDefault="00786A3A" w:rsidP="00F938B2">
            <w:pPr>
              <w:autoSpaceDE w:val="0"/>
              <w:autoSpaceDN w:val="0"/>
              <w:adjustRightInd w:val="0"/>
              <w:jc w:val="center"/>
              <w:rPr>
                <w:lang w:val="lt"/>
              </w:rPr>
            </w:pPr>
            <w:r w:rsidRPr="00D41DD8">
              <w:rPr>
                <w:lang w:val="lt"/>
              </w:rPr>
              <w:t>10</w:t>
            </w:r>
          </w:p>
        </w:tc>
        <w:tc>
          <w:tcPr>
            <w:tcW w:w="1134" w:type="dxa"/>
            <w:tcBorders>
              <w:top w:val="single" w:sz="6" w:space="0" w:color="auto"/>
              <w:left w:val="single" w:sz="6" w:space="0" w:color="auto"/>
              <w:bottom w:val="single" w:sz="6" w:space="0" w:color="auto"/>
              <w:right w:val="single" w:sz="6" w:space="0" w:color="auto"/>
            </w:tcBorders>
          </w:tcPr>
          <w:p w14:paraId="302B3772" w14:textId="77777777" w:rsidR="00786A3A" w:rsidRPr="00D41DD8" w:rsidRDefault="00786A3A" w:rsidP="00F938B2">
            <w:pPr>
              <w:autoSpaceDE w:val="0"/>
              <w:autoSpaceDN w:val="0"/>
              <w:adjustRightInd w:val="0"/>
              <w:jc w:val="center"/>
              <w:rPr>
                <w:lang w:val="lt"/>
              </w:rPr>
            </w:pPr>
            <w:r w:rsidRPr="00D41DD8">
              <w:rPr>
                <w:lang w:val="lt"/>
              </w:rPr>
              <w:t>1,13</w:t>
            </w:r>
          </w:p>
        </w:tc>
        <w:tc>
          <w:tcPr>
            <w:tcW w:w="426" w:type="dxa"/>
            <w:tcBorders>
              <w:top w:val="single" w:sz="4" w:space="0" w:color="auto"/>
              <w:bottom w:val="single" w:sz="4" w:space="0" w:color="auto"/>
              <w:right w:val="single" w:sz="4" w:space="0" w:color="auto"/>
            </w:tcBorders>
            <w:shd w:val="clear" w:color="auto" w:fill="auto"/>
          </w:tcPr>
          <w:p w14:paraId="302B3773" w14:textId="77777777" w:rsidR="00786A3A" w:rsidRPr="00D41DD8" w:rsidRDefault="00786A3A" w:rsidP="00F938B2">
            <w:pPr>
              <w:jc w:val="center"/>
              <w:rPr>
                <w:lang w:val="lt"/>
              </w:rPr>
            </w:pPr>
            <w:r w:rsidRPr="00D41DD8">
              <w:rPr>
                <w:lang w:val="lt"/>
              </w:rPr>
              <w:t>17</w:t>
            </w:r>
          </w:p>
        </w:tc>
        <w:tc>
          <w:tcPr>
            <w:tcW w:w="1275" w:type="dxa"/>
            <w:tcBorders>
              <w:top w:val="single" w:sz="4" w:space="0" w:color="auto"/>
              <w:bottom w:val="single" w:sz="4" w:space="0" w:color="auto"/>
              <w:right w:val="single" w:sz="4" w:space="0" w:color="auto"/>
            </w:tcBorders>
            <w:shd w:val="clear" w:color="auto" w:fill="auto"/>
          </w:tcPr>
          <w:p w14:paraId="302B3774" w14:textId="77777777" w:rsidR="00786A3A" w:rsidRPr="00D41DD8" w:rsidRDefault="00786A3A" w:rsidP="00F938B2">
            <w:pPr>
              <w:jc w:val="center"/>
              <w:rPr>
                <w:lang w:val="lt"/>
              </w:rPr>
            </w:pPr>
            <w:r w:rsidRPr="00D41DD8">
              <w:rPr>
                <w:lang w:val="lt"/>
              </w:rPr>
              <w:t>1,47</w:t>
            </w:r>
          </w:p>
        </w:tc>
        <w:tc>
          <w:tcPr>
            <w:tcW w:w="709" w:type="dxa"/>
            <w:tcBorders>
              <w:top w:val="single" w:sz="4" w:space="0" w:color="auto"/>
              <w:bottom w:val="single" w:sz="4" w:space="0" w:color="auto"/>
              <w:right w:val="single" w:sz="4" w:space="0" w:color="auto"/>
            </w:tcBorders>
            <w:shd w:val="clear" w:color="auto" w:fill="auto"/>
          </w:tcPr>
          <w:p w14:paraId="302B3775" w14:textId="77777777" w:rsidR="00786A3A" w:rsidRPr="00D41DD8" w:rsidRDefault="00786A3A" w:rsidP="00F938B2">
            <w:pPr>
              <w:jc w:val="center"/>
              <w:rPr>
                <w:lang w:val="lt"/>
              </w:rPr>
            </w:pPr>
            <w:r w:rsidRPr="00D41DD8">
              <w:rPr>
                <w:lang w:val="lt"/>
              </w:rPr>
              <w:t>-0,34</w:t>
            </w:r>
          </w:p>
        </w:tc>
      </w:tr>
      <w:tr w:rsidR="00786A3A" w:rsidRPr="00D41DD8" w14:paraId="302B377D"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77" w14:textId="77777777" w:rsidR="00786A3A" w:rsidRPr="00D41DD8" w:rsidRDefault="00786A3A" w:rsidP="00F938B2">
            <w:pPr>
              <w:autoSpaceDE w:val="0"/>
              <w:autoSpaceDN w:val="0"/>
              <w:adjustRightInd w:val="0"/>
              <w:jc w:val="both"/>
              <w:rPr>
                <w:lang w:val="lt"/>
              </w:rPr>
            </w:pPr>
            <w:r w:rsidRPr="00D41DD8">
              <w:rPr>
                <w:lang w:val="lt"/>
              </w:rPr>
              <w:t>Darbo užmokestis (įskaitant soc. draudimą)</w:t>
            </w:r>
          </w:p>
        </w:tc>
        <w:tc>
          <w:tcPr>
            <w:tcW w:w="708" w:type="dxa"/>
            <w:tcBorders>
              <w:top w:val="single" w:sz="6" w:space="0" w:color="auto"/>
              <w:left w:val="single" w:sz="6" w:space="0" w:color="auto"/>
              <w:bottom w:val="single" w:sz="6" w:space="0" w:color="auto"/>
              <w:right w:val="single" w:sz="6" w:space="0" w:color="auto"/>
            </w:tcBorders>
          </w:tcPr>
          <w:p w14:paraId="302B3778" w14:textId="77777777" w:rsidR="00786A3A" w:rsidRPr="00D41DD8" w:rsidRDefault="00786A3A" w:rsidP="00F938B2">
            <w:pPr>
              <w:autoSpaceDE w:val="0"/>
              <w:autoSpaceDN w:val="0"/>
              <w:adjustRightInd w:val="0"/>
              <w:jc w:val="center"/>
              <w:rPr>
                <w:lang w:val="lt"/>
              </w:rPr>
            </w:pPr>
            <w:r w:rsidRPr="00D41DD8">
              <w:rPr>
                <w:lang w:val="lt"/>
              </w:rPr>
              <w:t>34</w:t>
            </w:r>
          </w:p>
        </w:tc>
        <w:tc>
          <w:tcPr>
            <w:tcW w:w="1134" w:type="dxa"/>
            <w:tcBorders>
              <w:top w:val="single" w:sz="6" w:space="0" w:color="auto"/>
              <w:left w:val="single" w:sz="6" w:space="0" w:color="auto"/>
              <w:bottom w:val="single" w:sz="4" w:space="0" w:color="auto"/>
              <w:right w:val="single" w:sz="6" w:space="0" w:color="auto"/>
            </w:tcBorders>
          </w:tcPr>
          <w:p w14:paraId="302B3779" w14:textId="77777777" w:rsidR="00786A3A" w:rsidRPr="00D41DD8" w:rsidRDefault="00786A3A" w:rsidP="00F938B2">
            <w:pPr>
              <w:autoSpaceDE w:val="0"/>
              <w:autoSpaceDN w:val="0"/>
              <w:adjustRightInd w:val="0"/>
              <w:jc w:val="center"/>
              <w:rPr>
                <w:lang w:val="lt"/>
              </w:rPr>
            </w:pPr>
            <w:r w:rsidRPr="00D41DD8">
              <w:rPr>
                <w:lang w:val="lt"/>
              </w:rPr>
              <w:t>4,11</w:t>
            </w:r>
          </w:p>
        </w:tc>
        <w:tc>
          <w:tcPr>
            <w:tcW w:w="426" w:type="dxa"/>
            <w:tcBorders>
              <w:top w:val="single" w:sz="4" w:space="0" w:color="auto"/>
              <w:bottom w:val="single" w:sz="4" w:space="0" w:color="auto"/>
              <w:right w:val="single" w:sz="4" w:space="0" w:color="auto"/>
            </w:tcBorders>
            <w:shd w:val="clear" w:color="auto" w:fill="auto"/>
          </w:tcPr>
          <w:p w14:paraId="302B377A" w14:textId="77777777" w:rsidR="00786A3A" w:rsidRPr="00D41DD8" w:rsidRDefault="00786A3A" w:rsidP="00F938B2">
            <w:pPr>
              <w:jc w:val="center"/>
              <w:rPr>
                <w:lang w:val="lt"/>
              </w:rPr>
            </w:pPr>
            <w:r w:rsidRPr="00D41DD8">
              <w:rPr>
                <w:lang w:val="lt"/>
              </w:rPr>
              <w:t>36</w:t>
            </w:r>
          </w:p>
        </w:tc>
        <w:tc>
          <w:tcPr>
            <w:tcW w:w="1275" w:type="dxa"/>
            <w:tcBorders>
              <w:top w:val="single" w:sz="4" w:space="0" w:color="auto"/>
              <w:bottom w:val="single" w:sz="4" w:space="0" w:color="auto"/>
              <w:right w:val="single" w:sz="4" w:space="0" w:color="auto"/>
            </w:tcBorders>
            <w:shd w:val="clear" w:color="auto" w:fill="auto"/>
          </w:tcPr>
          <w:p w14:paraId="302B377B" w14:textId="77777777" w:rsidR="00786A3A" w:rsidRPr="00D41DD8" w:rsidRDefault="00786A3A" w:rsidP="00F938B2">
            <w:pPr>
              <w:jc w:val="center"/>
              <w:rPr>
                <w:lang w:val="lt"/>
              </w:rPr>
            </w:pPr>
            <w:r w:rsidRPr="00D41DD8">
              <w:rPr>
                <w:lang w:val="lt"/>
              </w:rPr>
              <w:t>3,48</w:t>
            </w:r>
          </w:p>
        </w:tc>
        <w:tc>
          <w:tcPr>
            <w:tcW w:w="709" w:type="dxa"/>
            <w:tcBorders>
              <w:top w:val="single" w:sz="4" w:space="0" w:color="auto"/>
              <w:bottom w:val="single" w:sz="4" w:space="0" w:color="auto"/>
              <w:right w:val="single" w:sz="4" w:space="0" w:color="auto"/>
            </w:tcBorders>
            <w:shd w:val="clear" w:color="auto" w:fill="auto"/>
          </w:tcPr>
          <w:p w14:paraId="302B377C" w14:textId="77777777" w:rsidR="00786A3A" w:rsidRPr="00D41DD8" w:rsidRDefault="00786A3A" w:rsidP="00F938B2">
            <w:pPr>
              <w:jc w:val="center"/>
              <w:rPr>
                <w:lang w:val="lt"/>
              </w:rPr>
            </w:pPr>
            <w:r w:rsidRPr="00D41DD8">
              <w:rPr>
                <w:lang w:val="lt"/>
              </w:rPr>
              <w:t>0,63</w:t>
            </w:r>
          </w:p>
        </w:tc>
      </w:tr>
      <w:tr w:rsidR="00786A3A" w:rsidRPr="00D41DD8" w14:paraId="302B3784"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7E" w14:textId="77777777" w:rsidR="00786A3A" w:rsidRPr="00D41DD8" w:rsidRDefault="00786A3A" w:rsidP="00F938B2">
            <w:pPr>
              <w:autoSpaceDE w:val="0"/>
              <w:autoSpaceDN w:val="0"/>
              <w:adjustRightInd w:val="0"/>
              <w:jc w:val="both"/>
              <w:rPr>
                <w:lang w:val="lt"/>
              </w:rPr>
            </w:pPr>
            <w:r w:rsidRPr="00D41DD8">
              <w:rPr>
                <w:lang w:val="lt"/>
              </w:rPr>
              <w:t>Mokesčių ir kitos sąnaudos</w:t>
            </w:r>
          </w:p>
        </w:tc>
        <w:tc>
          <w:tcPr>
            <w:tcW w:w="708" w:type="dxa"/>
            <w:tcBorders>
              <w:top w:val="single" w:sz="6" w:space="0" w:color="auto"/>
              <w:left w:val="single" w:sz="6" w:space="0" w:color="auto"/>
              <w:bottom w:val="single" w:sz="6" w:space="0" w:color="auto"/>
              <w:right w:val="single" w:sz="6" w:space="0" w:color="auto"/>
            </w:tcBorders>
          </w:tcPr>
          <w:p w14:paraId="302B377F" w14:textId="77777777" w:rsidR="00786A3A" w:rsidRPr="00D41DD8" w:rsidRDefault="00786A3A" w:rsidP="00F938B2">
            <w:pPr>
              <w:autoSpaceDE w:val="0"/>
              <w:autoSpaceDN w:val="0"/>
              <w:adjustRightInd w:val="0"/>
              <w:jc w:val="center"/>
              <w:rPr>
                <w:lang w:val="lt"/>
              </w:rPr>
            </w:pPr>
            <w:r w:rsidRPr="00D41DD8">
              <w:rPr>
                <w:lang w:val="lt"/>
              </w:rPr>
              <w:t>3</w:t>
            </w:r>
          </w:p>
        </w:tc>
        <w:tc>
          <w:tcPr>
            <w:tcW w:w="1134" w:type="dxa"/>
            <w:tcBorders>
              <w:top w:val="single" w:sz="4" w:space="0" w:color="auto"/>
              <w:left w:val="single" w:sz="6" w:space="0" w:color="auto"/>
              <w:bottom w:val="single" w:sz="4" w:space="0" w:color="auto"/>
              <w:right w:val="single" w:sz="6" w:space="0" w:color="auto"/>
            </w:tcBorders>
          </w:tcPr>
          <w:p w14:paraId="302B3780" w14:textId="77777777" w:rsidR="00786A3A" w:rsidRPr="00D41DD8" w:rsidRDefault="00786A3A" w:rsidP="00F938B2">
            <w:pPr>
              <w:autoSpaceDE w:val="0"/>
              <w:autoSpaceDN w:val="0"/>
              <w:adjustRightInd w:val="0"/>
              <w:jc w:val="center"/>
              <w:rPr>
                <w:lang w:val="lt"/>
              </w:rPr>
            </w:pPr>
            <w:r w:rsidRPr="00D41DD8">
              <w:rPr>
                <w:lang w:val="lt"/>
              </w:rPr>
              <w:t>0,38</w:t>
            </w:r>
          </w:p>
        </w:tc>
        <w:tc>
          <w:tcPr>
            <w:tcW w:w="426" w:type="dxa"/>
            <w:tcBorders>
              <w:top w:val="single" w:sz="4" w:space="0" w:color="auto"/>
              <w:bottom w:val="single" w:sz="4" w:space="0" w:color="auto"/>
              <w:right w:val="single" w:sz="4" w:space="0" w:color="auto"/>
            </w:tcBorders>
            <w:shd w:val="clear" w:color="auto" w:fill="auto"/>
          </w:tcPr>
          <w:p w14:paraId="302B3781" w14:textId="77777777" w:rsidR="00786A3A" w:rsidRPr="00D41DD8" w:rsidRDefault="00786A3A" w:rsidP="00F938B2">
            <w:pPr>
              <w:jc w:val="center"/>
              <w:rPr>
                <w:lang w:val="lt"/>
              </w:rPr>
            </w:pPr>
            <w:r w:rsidRPr="00D41DD8">
              <w:rPr>
                <w:lang w:val="lt"/>
              </w:rPr>
              <w:t>2</w:t>
            </w:r>
          </w:p>
        </w:tc>
        <w:tc>
          <w:tcPr>
            <w:tcW w:w="1275" w:type="dxa"/>
            <w:tcBorders>
              <w:top w:val="single" w:sz="4" w:space="0" w:color="auto"/>
              <w:bottom w:val="single" w:sz="4" w:space="0" w:color="auto"/>
              <w:right w:val="single" w:sz="4" w:space="0" w:color="auto"/>
            </w:tcBorders>
            <w:shd w:val="clear" w:color="auto" w:fill="auto"/>
          </w:tcPr>
          <w:p w14:paraId="302B3782" w14:textId="77777777" w:rsidR="00786A3A" w:rsidRPr="00D41DD8" w:rsidRDefault="00786A3A" w:rsidP="00F938B2">
            <w:pPr>
              <w:jc w:val="center"/>
              <w:rPr>
                <w:lang w:val="lt"/>
              </w:rPr>
            </w:pPr>
            <w:r w:rsidRPr="00D41DD8">
              <w:rPr>
                <w:lang w:val="lt"/>
              </w:rPr>
              <w:t>0,17</w:t>
            </w:r>
          </w:p>
        </w:tc>
        <w:tc>
          <w:tcPr>
            <w:tcW w:w="709" w:type="dxa"/>
            <w:tcBorders>
              <w:top w:val="single" w:sz="4" w:space="0" w:color="auto"/>
              <w:bottom w:val="single" w:sz="4" w:space="0" w:color="auto"/>
              <w:right w:val="single" w:sz="4" w:space="0" w:color="auto"/>
            </w:tcBorders>
            <w:shd w:val="clear" w:color="auto" w:fill="auto"/>
          </w:tcPr>
          <w:p w14:paraId="302B3783" w14:textId="77777777" w:rsidR="00786A3A" w:rsidRPr="00D41DD8" w:rsidRDefault="00786A3A" w:rsidP="00F938B2">
            <w:pPr>
              <w:jc w:val="center"/>
              <w:rPr>
                <w:lang w:val="lt"/>
              </w:rPr>
            </w:pPr>
            <w:r w:rsidRPr="00D41DD8">
              <w:rPr>
                <w:lang w:val="lt"/>
              </w:rPr>
              <w:t>0,21</w:t>
            </w:r>
          </w:p>
        </w:tc>
      </w:tr>
      <w:tr w:rsidR="00786A3A" w:rsidRPr="00D41DD8" w14:paraId="302B378B" w14:textId="77777777" w:rsidTr="00F938B2">
        <w:trPr>
          <w:trHeight w:val="247"/>
        </w:trPr>
        <w:tc>
          <w:tcPr>
            <w:tcW w:w="4425" w:type="dxa"/>
            <w:tcBorders>
              <w:top w:val="single" w:sz="6" w:space="0" w:color="auto"/>
              <w:left w:val="single" w:sz="6" w:space="0" w:color="auto"/>
              <w:bottom w:val="single" w:sz="4" w:space="0" w:color="auto"/>
              <w:right w:val="single" w:sz="6" w:space="0" w:color="auto"/>
            </w:tcBorders>
          </w:tcPr>
          <w:p w14:paraId="302B3785" w14:textId="77777777" w:rsidR="00786A3A" w:rsidRPr="00D41DD8" w:rsidRDefault="00786A3A" w:rsidP="00F938B2">
            <w:pPr>
              <w:autoSpaceDE w:val="0"/>
              <w:autoSpaceDN w:val="0"/>
              <w:adjustRightInd w:val="0"/>
              <w:jc w:val="both"/>
              <w:rPr>
                <w:lang w:val="lt"/>
              </w:rPr>
            </w:pPr>
            <w:r w:rsidRPr="00D41DD8">
              <w:rPr>
                <w:lang w:val="lt"/>
              </w:rPr>
              <w:t>Administracinės sąnaudos</w:t>
            </w:r>
          </w:p>
        </w:tc>
        <w:tc>
          <w:tcPr>
            <w:tcW w:w="708" w:type="dxa"/>
            <w:tcBorders>
              <w:top w:val="single" w:sz="6" w:space="0" w:color="auto"/>
              <w:left w:val="single" w:sz="6" w:space="0" w:color="auto"/>
              <w:bottom w:val="single" w:sz="4" w:space="0" w:color="auto"/>
              <w:right w:val="single" w:sz="6" w:space="0" w:color="auto"/>
            </w:tcBorders>
          </w:tcPr>
          <w:p w14:paraId="302B3786" w14:textId="77777777" w:rsidR="00786A3A" w:rsidRPr="00D41DD8" w:rsidRDefault="00786A3A" w:rsidP="00F938B2">
            <w:pPr>
              <w:autoSpaceDE w:val="0"/>
              <w:autoSpaceDN w:val="0"/>
              <w:adjustRightInd w:val="0"/>
              <w:jc w:val="center"/>
              <w:rPr>
                <w:lang w:val="lt"/>
              </w:rPr>
            </w:pPr>
            <w:r w:rsidRPr="00D41DD8">
              <w:rPr>
                <w:lang w:val="lt"/>
              </w:rPr>
              <w:t>11</w:t>
            </w:r>
          </w:p>
        </w:tc>
        <w:tc>
          <w:tcPr>
            <w:tcW w:w="1134" w:type="dxa"/>
            <w:tcBorders>
              <w:top w:val="single" w:sz="4" w:space="0" w:color="auto"/>
              <w:left w:val="single" w:sz="6" w:space="0" w:color="auto"/>
              <w:bottom w:val="single" w:sz="4" w:space="0" w:color="auto"/>
              <w:right w:val="single" w:sz="6" w:space="0" w:color="auto"/>
            </w:tcBorders>
          </w:tcPr>
          <w:p w14:paraId="302B3787" w14:textId="77777777" w:rsidR="00786A3A" w:rsidRPr="00D41DD8" w:rsidRDefault="00786A3A" w:rsidP="00F938B2">
            <w:pPr>
              <w:autoSpaceDE w:val="0"/>
              <w:autoSpaceDN w:val="0"/>
              <w:adjustRightInd w:val="0"/>
              <w:jc w:val="center"/>
              <w:rPr>
                <w:lang w:val="lt"/>
              </w:rPr>
            </w:pPr>
            <w:r w:rsidRPr="00D41DD8">
              <w:rPr>
                <w:lang w:val="lt"/>
              </w:rPr>
              <w:t>1,32</w:t>
            </w:r>
          </w:p>
        </w:tc>
        <w:tc>
          <w:tcPr>
            <w:tcW w:w="426" w:type="dxa"/>
            <w:tcBorders>
              <w:top w:val="single" w:sz="4" w:space="0" w:color="auto"/>
              <w:bottom w:val="single" w:sz="4" w:space="0" w:color="auto"/>
              <w:right w:val="single" w:sz="4" w:space="0" w:color="auto"/>
            </w:tcBorders>
            <w:shd w:val="clear" w:color="auto" w:fill="auto"/>
          </w:tcPr>
          <w:p w14:paraId="302B3788" w14:textId="77777777" w:rsidR="00786A3A" w:rsidRPr="00D41DD8" w:rsidRDefault="00786A3A" w:rsidP="00F938B2">
            <w:pPr>
              <w:jc w:val="center"/>
              <w:rPr>
                <w:lang w:val="lt"/>
              </w:rPr>
            </w:pPr>
            <w:r w:rsidRPr="00D41DD8">
              <w:rPr>
                <w:lang w:val="lt"/>
              </w:rPr>
              <w:t>8</w:t>
            </w:r>
          </w:p>
        </w:tc>
        <w:tc>
          <w:tcPr>
            <w:tcW w:w="1275" w:type="dxa"/>
            <w:tcBorders>
              <w:top w:val="single" w:sz="4" w:space="0" w:color="auto"/>
              <w:bottom w:val="single" w:sz="4" w:space="0" w:color="auto"/>
              <w:right w:val="single" w:sz="4" w:space="0" w:color="auto"/>
            </w:tcBorders>
            <w:shd w:val="clear" w:color="auto" w:fill="auto"/>
          </w:tcPr>
          <w:p w14:paraId="302B3789" w14:textId="77777777" w:rsidR="00786A3A" w:rsidRPr="00D41DD8" w:rsidRDefault="00786A3A" w:rsidP="00F938B2">
            <w:pPr>
              <w:jc w:val="center"/>
              <w:rPr>
                <w:lang w:val="lt"/>
              </w:rPr>
            </w:pPr>
            <w:r w:rsidRPr="00D41DD8">
              <w:rPr>
                <w:lang w:val="lt"/>
              </w:rPr>
              <w:t>0,76</w:t>
            </w:r>
          </w:p>
        </w:tc>
        <w:tc>
          <w:tcPr>
            <w:tcW w:w="709" w:type="dxa"/>
            <w:tcBorders>
              <w:top w:val="single" w:sz="4" w:space="0" w:color="auto"/>
              <w:bottom w:val="single" w:sz="4" w:space="0" w:color="auto"/>
              <w:right w:val="single" w:sz="4" w:space="0" w:color="auto"/>
            </w:tcBorders>
            <w:shd w:val="clear" w:color="auto" w:fill="auto"/>
          </w:tcPr>
          <w:p w14:paraId="302B378A" w14:textId="77777777" w:rsidR="00786A3A" w:rsidRPr="00D41DD8" w:rsidRDefault="00786A3A" w:rsidP="00F938B2">
            <w:pPr>
              <w:jc w:val="center"/>
              <w:rPr>
                <w:lang w:val="lt"/>
              </w:rPr>
            </w:pPr>
            <w:r w:rsidRPr="00D41DD8">
              <w:rPr>
                <w:lang w:val="lt"/>
              </w:rPr>
              <w:t>0,56</w:t>
            </w:r>
          </w:p>
        </w:tc>
      </w:tr>
      <w:tr w:rsidR="00786A3A" w:rsidRPr="00D41DD8" w14:paraId="302B3792"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8C" w14:textId="77777777" w:rsidR="00786A3A" w:rsidRPr="00D41DD8" w:rsidRDefault="00786A3A" w:rsidP="00F938B2">
            <w:pPr>
              <w:autoSpaceDE w:val="0"/>
              <w:autoSpaceDN w:val="0"/>
              <w:adjustRightInd w:val="0"/>
              <w:jc w:val="both"/>
              <w:rPr>
                <w:lang w:val="lt"/>
              </w:rPr>
            </w:pPr>
            <w:r w:rsidRPr="00D41DD8">
              <w:rPr>
                <w:lang w:val="lt"/>
              </w:rPr>
              <w:t xml:space="preserve">         Iš viso sąnaudų</w:t>
            </w:r>
          </w:p>
        </w:tc>
        <w:tc>
          <w:tcPr>
            <w:tcW w:w="708" w:type="dxa"/>
            <w:tcBorders>
              <w:top w:val="single" w:sz="6" w:space="0" w:color="auto"/>
              <w:left w:val="single" w:sz="6" w:space="0" w:color="auto"/>
              <w:bottom w:val="single" w:sz="6" w:space="0" w:color="auto"/>
              <w:right w:val="single" w:sz="6" w:space="0" w:color="auto"/>
            </w:tcBorders>
          </w:tcPr>
          <w:p w14:paraId="302B378D" w14:textId="77777777" w:rsidR="00786A3A" w:rsidRPr="00D41DD8" w:rsidRDefault="00786A3A" w:rsidP="00F938B2">
            <w:pPr>
              <w:autoSpaceDE w:val="0"/>
              <w:autoSpaceDN w:val="0"/>
              <w:adjustRightInd w:val="0"/>
              <w:jc w:val="center"/>
              <w:rPr>
                <w:lang w:val="lt"/>
              </w:rPr>
            </w:pPr>
            <w:r w:rsidRPr="00D41DD8">
              <w:rPr>
                <w:lang w:val="lt"/>
              </w:rPr>
              <w:t>100</w:t>
            </w:r>
          </w:p>
        </w:tc>
        <w:tc>
          <w:tcPr>
            <w:tcW w:w="1134" w:type="dxa"/>
            <w:tcBorders>
              <w:top w:val="single" w:sz="6" w:space="0" w:color="auto"/>
              <w:left w:val="single" w:sz="6" w:space="0" w:color="auto"/>
              <w:bottom w:val="single" w:sz="6" w:space="0" w:color="auto"/>
              <w:right w:val="single" w:sz="6" w:space="0" w:color="auto"/>
            </w:tcBorders>
          </w:tcPr>
          <w:p w14:paraId="302B378E" w14:textId="77777777" w:rsidR="00786A3A" w:rsidRPr="00D41DD8" w:rsidRDefault="00786A3A" w:rsidP="00F938B2">
            <w:pPr>
              <w:autoSpaceDE w:val="0"/>
              <w:autoSpaceDN w:val="0"/>
              <w:adjustRightInd w:val="0"/>
              <w:jc w:val="center"/>
              <w:rPr>
                <w:lang w:val="lt"/>
              </w:rPr>
            </w:pPr>
            <w:r w:rsidRPr="00D41DD8">
              <w:rPr>
                <w:lang w:val="lt"/>
              </w:rPr>
              <w:t>11,98</w:t>
            </w:r>
          </w:p>
        </w:tc>
        <w:tc>
          <w:tcPr>
            <w:tcW w:w="426" w:type="dxa"/>
            <w:tcBorders>
              <w:top w:val="single" w:sz="4" w:space="0" w:color="auto"/>
              <w:bottom w:val="single" w:sz="4" w:space="0" w:color="auto"/>
              <w:right w:val="single" w:sz="4" w:space="0" w:color="auto"/>
            </w:tcBorders>
            <w:shd w:val="clear" w:color="auto" w:fill="auto"/>
          </w:tcPr>
          <w:p w14:paraId="302B378F" w14:textId="77777777" w:rsidR="00786A3A" w:rsidRPr="00D41DD8" w:rsidRDefault="00786A3A" w:rsidP="00F938B2">
            <w:pPr>
              <w:jc w:val="center"/>
              <w:rPr>
                <w:lang w:val="lt"/>
              </w:rPr>
            </w:pPr>
            <w:r w:rsidRPr="00D41DD8">
              <w:rPr>
                <w:lang w:val="lt"/>
              </w:rPr>
              <w:t>100</w:t>
            </w:r>
          </w:p>
        </w:tc>
        <w:tc>
          <w:tcPr>
            <w:tcW w:w="1275" w:type="dxa"/>
            <w:tcBorders>
              <w:top w:val="single" w:sz="4" w:space="0" w:color="auto"/>
              <w:bottom w:val="single" w:sz="4" w:space="0" w:color="auto"/>
              <w:right w:val="single" w:sz="4" w:space="0" w:color="auto"/>
            </w:tcBorders>
            <w:shd w:val="clear" w:color="auto" w:fill="auto"/>
          </w:tcPr>
          <w:p w14:paraId="302B3790" w14:textId="77777777" w:rsidR="00786A3A" w:rsidRPr="00D41DD8" w:rsidRDefault="00786A3A" w:rsidP="00F938B2">
            <w:pPr>
              <w:jc w:val="center"/>
              <w:rPr>
                <w:lang w:val="lt"/>
              </w:rPr>
            </w:pPr>
            <w:r w:rsidRPr="00D41DD8">
              <w:rPr>
                <w:lang w:val="lt"/>
              </w:rPr>
              <w:t>9,43</w:t>
            </w:r>
          </w:p>
        </w:tc>
        <w:tc>
          <w:tcPr>
            <w:tcW w:w="709" w:type="dxa"/>
            <w:tcBorders>
              <w:top w:val="single" w:sz="4" w:space="0" w:color="auto"/>
              <w:bottom w:val="single" w:sz="4" w:space="0" w:color="auto"/>
              <w:right w:val="single" w:sz="4" w:space="0" w:color="auto"/>
            </w:tcBorders>
            <w:shd w:val="clear" w:color="auto" w:fill="auto"/>
          </w:tcPr>
          <w:p w14:paraId="302B3791" w14:textId="77777777" w:rsidR="00786A3A" w:rsidRPr="00D41DD8" w:rsidRDefault="00786A3A" w:rsidP="00F938B2">
            <w:pPr>
              <w:jc w:val="center"/>
              <w:rPr>
                <w:lang w:val="lt"/>
              </w:rPr>
            </w:pPr>
            <w:r w:rsidRPr="00D41DD8">
              <w:rPr>
                <w:lang w:val="lt"/>
              </w:rPr>
              <w:t>2,55</w:t>
            </w:r>
          </w:p>
        </w:tc>
      </w:tr>
      <w:tr w:rsidR="00786A3A" w:rsidRPr="00D41DD8" w14:paraId="302B3799"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93" w14:textId="77777777" w:rsidR="00786A3A" w:rsidRPr="00D41DD8" w:rsidRDefault="00786A3A" w:rsidP="00F938B2">
            <w:pPr>
              <w:autoSpaceDE w:val="0"/>
              <w:autoSpaceDN w:val="0"/>
              <w:adjustRightInd w:val="0"/>
              <w:jc w:val="both"/>
              <w:rPr>
                <w:lang w:val="en-US"/>
              </w:rPr>
            </w:pPr>
            <w:r w:rsidRPr="00D41DD8">
              <w:rPr>
                <w:lang w:val="lt"/>
              </w:rPr>
              <w:t xml:space="preserve">         Investicijų grąžos norma 0,05</w:t>
            </w:r>
            <w:r w:rsidRPr="00D41DD8">
              <w:rPr>
                <w:lang w:val="en-US"/>
              </w:rPr>
              <w:t>%</w:t>
            </w:r>
          </w:p>
        </w:tc>
        <w:tc>
          <w:tcPr>
            <w:tcW w:w="708" w:type="dxa"/>
            <w:tcBorders>
              <w:top w:val="single" w:sz="6" w:space="0" w:color="auto"/>
              <w:left w:val="single" w:sz="6" w:space="0" w:color="auto"/>
              <w:bottom w:val="single" w:sz="6" w:space="0" w:color="auto"/>
              <w:right w:val="single" w:sz="6" w:space="0" w:color="auto"/>
            </w:tcBorders>
          </w:tcPr>
          <w:p w14:paraId="302B3794" w14:textId="77777777" w:rsidR="00786A3A" w:rsidRPr="00D41DD8" w:rsidRDefault="00786A3A" w:rsidP="00F938B2">
            <w:pPr>
              <w:autoSpaceDE w:val="0"/>
              <w:autoSpaceDN w:val="0"/>
              <w:adjustRightInd w:val="0"/>
              <w:jc w:val="center"/>
              <w:rPr>
                <w:lang w:val="lt"/>
              </w:rPr>
            </w:pPr>
          </w:p>
        </w:tc>
        <w:tc>
          <w:tcPr>
            <w:tcW w:w="1134" w:type="dxa"/>
            <w:tcBorders>
              <w:top w:val="single" w:sz="6" w:space="0" w:color="auto"/>
              <w:left w:val="single" w:sz="6" w:space="0" w:color="auto"/>
              <w:bottom w:val="single" w:sz="6" w:space="0" w:color="auto"/>
              <w:right w:val="single" w:sz="6" w:space="0" w:color="auto"/>
            </w:tcBorders>
          </w:tcPr>
          <w:p w14:paraId="302B3795" w14:textId="77777777" w:rsidR="00786A3A" w:rsidRPr="00D41DD8" w:rsidRDefault="00786A3A" w:rsidP="00F938B2">
            <w:pPr>
              <w:autoSpaceDE w:val="0"/>
              <w:autoSpaceDN w:val="0"/>
              <w:adjustRightInd w:val="0"/>
              <w:jc w:val="center"/>
              <w:rPr>
                <w:lang w:val="lt"/>
              </w:rPr>
            </w:pPr>
            <w:r w:rsidRPr="00D41DD8">
              <w:rPr>
                <w:lang w:val="lt"/>
              </w:rPr>
              <w:t>0,01</w:t>
            </w:r>
          </w:p>
        </w:tc>
        <w:tc>
          <w:tcPr>
            <w:tcW w:w="426" w:type="dxa"/>
            <w:tcBorders>
              <w:top w:val="single" w:sz="4" w:space="0" w:color="auto"/>
              <w:bottom w:val="single" w:sz="4" w:space="0" w:color="auto"/>
              <w:right w:val="single" w:sz="4" w:space="0" w:color="auto"/>
            </w:tcBorders>
            <w:shd w:val="clear" w:color="auto" w:fill="auto"/>
          </w:tcPr>
          <w:p w14:paraId="302B3796" w14:textId="77777777" w:rsidR="00786A3A" w:rsidRPr="00D41DD8" w:rsidRDefault="00786A3A" w:rsidP="00F938B2">
            <w:pPr>
              <w:jc w:val="center"/>
              <w:rPr>
                <w:lang w:val="lt"/>
              </w:rPr>
            </w:pPr>
          </w:p>
        </w:tc>
        <w:tc>
          <w:tcPr>
            <w:tcW w:w="1275" w:type="dxa"/>
            <w:tcBorders>
              <w:top w:val="single" w:sz="4" w:space="0" w:color="auto"/>
              <w:bottom w:val="single" w:sz="4" w:space="0" w:color="auto"/>
              <w:right w:val="single" w:sz="4" w:space="0" w:color="auto"/>
            </w:tcBorders>
            <w:shd w:val="clear" w:color="auto" w:fill="auto"/>
          </w:tcPr>
          <w:p w14:paraId="302B3797" w14:textId="77777777" w:rsidR="00786A3A" w:rsidRPr="00D41DD8" w:rsidRDefault="00786A3A" w:rsidP="00F938B2">
            <w:pPr>
              <w:jc w:val="center"/>
              <w:rPr>
                <w:lang w:val="lt"/>
              </w:rPr>
            </w:pPr>
            <w:r w:rsidRPr="00D41DD8">
              <w:rPr>
                <w:lang w:val="lt"/>
              </w:rPr>
              <w:t>0,02</w:t>
            </w:r>
          </w:p>
        </w:tc>
        <w:tc>
          <w:tcPr>
            <w:tcW w:w="709" w:type="dxa"/>
            <w:tcBorders>
              <w:top w:val="single" w:sz="4" w:space="0" w:color="auto"/>
              <w:bottom w:val="single" w:sz="4" w:space="0" w:color="auto"/>
              <w:right w:val="single" w:sz="4" w:space="0" w:color="auto"/>
            </w:tcBorders>
            <w:shd w:val="clear" w:color="auto" w:fill="auto"/>
          </w:tcPr>
          <w:p w14:paraId="302B3798" w14:textId="77777777" w:rsidR="00786A3A" w:rsidRPr="00D41DD8" w:rsidRDefault="00786A3A" w:rsidP="00F938B2">
            <w:pPr>
              <w:jc w:val="center"/>
              <w:rPr>
                <w:lang w:val="lt"/>
              </w:rPr>
            </w:pPr>
            <w:r w:rsidRPr="00D41DD8">
              <w:rPr>
                <w:lang w:val="lt"/>
              </w:rPr>
              <w:t>-0,01</w:t>
            </w:r>
          </w:p>
        </w:tc>
      </w:tr>
      <w:tr w:rsidR="00786A3A" w:rsidRPr="00D41DD8" w14:paraId="302B37A0" w14:textId="77777777" w:rsidTr="00F938B2">
        <w:trPr>
          <w:trHeight w:val="247"/>
        </w:trPr>
        <w:tc>
          <w:tcPr>
            <w:tcW w:w="4425" w:type="dxa"/>
            <w:tcBorders>
              <w:top w:val="single" w:sz="6" w:space="0" w:color="auto"/>
              <w:left w:val="single" w:sz="6" w:space="0" w:color="auto"/>
              <w:bottom w:val="single" w:sz="6" w:space="0" w:color="auto"/>
              <w:right w:val="single" w:sz="6" w:space="0" w:color="auto"/>
            </w:tcBorders>
          </w:tcPr>
          <w:p w14:paraId="302B379A" w14:textId="77777777" w:rsidR="00786A3A" w:rsidRPr="00D41DD8" w:rsidRDefault="00786A3A" w:rsidP="00F938B2">
            <w:pPr>
              <w:autoSpaceDE w:val="0"/>
              <w:autoSpaceDN w:val="0"/>
              <w:adjustRightInd w:val="0"/>
              <w:jc w:val="both"/>
              <w:rPr>
                <w:b/>
                <w:lang w:val="lt"/>
              </w:rPr>
            </w:pPr>
            <w:r w:rsidRPr="00D41DD8">
              <w:rPr>
                <w:b/>
                <w:lang w:val="lt"/>
              </w:rPr>
              <w:t>Šilumos kaina</w:t>
            </w:r>
          </w:p>
        </w:tc>
        <w:tc>
          <w:tcPr>
            <w:tcW w:w="708" w:type="dxa"/>
            <w:tcBorders>
              <w:top w:val="single" w:sz="6" w:space="0" w:color="auto"/>
              <w:left w:val="single" w:sz="6" w:space="0" w:color="auto"/>
              <w:bottom w:val="single" w:sz="6" w:space="0" w:color="auto"/>
              <w:right w:val="single" w:sz="6" w:space="0" w:color="auto"/>
            </w:tcBorders>
          </w:tcPr>
          <w:p w14:paraId="302B379B" w14:textId="77777777" w:rsidR="00786A3A" w:rsidRPr="00D41DD8" w:rsidRDefault="00786A3A" w:rsidP="00F938B2">
            <w:pPr>
              <w:autoSpaceDE w:val="0"/>
              <w:autoSpaceDN w:val="0"/>
              <w:adjustRightInd w:val="0"/>
              <w:jc w:val="center"/>
              <w:rPr>
                <w:b/>
                <w:lang w:val="lt"/>
              </w:rPr>
            </w:pPr>
          </w:p>
        </w:tc>
        <w:tc>
          <w:tcPr>
            <w:tcW w:w="1134" w:type="dxa"/>
            <w:tcBorders>
              <w:top w:val="single" w:sz="6" w:space="0" w:color="auto"/>
              <w:left w:val="single" w:sz="6" w:space="0" w:color="auto"/>
              <w:bottom w:val="single" w:sz="6" w:space="0" w:color="auto"/>
              <w:right w:val="single" w:sz="6" w:space="0" w:color="auto"/>
            </w:tcBorders>
          </w:tcPr>
          <w:p w14:paraId="302B379C" w14:textId="77777777" w:rsidR="00786A3A" w:rsidRPr="00D41DD8" w:rsidRDefault="00786A3A" w:rsidP="00F938B2">
            <w:pPr>
              <w:autoSpaceDE w:val="0"/>
              <w:autoSpaceDN w:val="0"/>
              <w:adjustRightInd w:val="0"/>
              <w:jc w:val="center"/>
              <w:rPr>
                <w:b/>
                <w:lang w:val="lt"/>
              </w:rPr>
            </w:pPr>
            <w:r w:rsidRPr="00D41DD8">
              <w:rPr>
                <w:b/>
                <w:lang w:val="lt"/>
              </w:rPr>
              <w:t>11,99</w:t>
            </w:r>
          </w:p>
        </w:tc>
        <w:tc>
          <w:tcPr>
            <w:tcW w:w="426" w:type="dxa"/>
            <w:tcBorders>
              <w:top w:val="single" w:sz="4" w:space="0" w:color="auto"/>
              <w:bottom w:val="single" w:sz="4" w:space="0" w:color="auto"/>
              <w:right w:val="single" w:sz="4" w:space="0" w:color="auto"/>
            </w:tcBorders>
            <w:shd w:val="clear" w:color="auto" w:fill="auto"/>
          </w:tcPr>
          <w:p w14:paraId="302B379D" w14:textId="77777777" w:rsidR="00786A3A" w:rsidRPr="00D41DD8" w:rsidRDefault="00786A3A" w:rsidP="00F938B2">
            <w:pPr>
              <w:jc w:val="center"/>
              <w:rPr>
                <w:b/>
                <w:lang w:val="lt"/>
              </w:rPr>
            </w:pPr>
          </w:p>
        </w:tc>
        <w:tc>
          <w:tcPr>
            <w:tcW w:w="1275" w:type="dxa"/>
            <w:tcBorders>
              <w:top w:val="single" w:sz="4" w:space="0" w:color="auto"/>
              <w:bottom w:val="single" w:sz="4" w:space="0" w:color="auto"/>
              <w:right w:val="single" w:sz="4" w:space="0" w:color="auto"/>
            </w:tcBorders>
            <w:shd w:val="clear" w:color="auto" w:fill="auto"/>
          </w:tcPr>
          <w:p w14:paraId="302B379E" w14:textId="77777777" w:rsidR="00786A3A" w:rsidRPr="00D41DD8" w:rsidRDefault="00786A3A" w:rsidP="00F938B2">
            <w:pPr>
              <w:jc w:val="center"/>
              <w:rPr>
                <w:b/>
                <w:lang w:val="lt"/>
              </w:rPr>
            </w:pPr>
            <w:r w:rsidRPr="00D41DD8">
              <w:rPr>
                <w:b/>
                <w:lang w:val="lt"/>
              </w:rPr>
              <w:t>9,45</w:t>
            </w:r>
          </w:p>
        </w:tc>
        <w:tc>
          <w:tcPr>
            <w:tcW w:w="709" w:type="dxa"/>
            <w:tcBorders>
              <w:top w:val="single" w:sz="4" w:space="0" w:color="auto"/>
              <w:bottom w:val="single" w:sz="4" w:space="0" w:color="auto"/>
              <w:right w:val="single" w:sz="4" w:space="0" w:color="auto"/>
            </w:tcBorders>
            <w:shd w:val="clear" w:color="auto" w:fill="auto"/>
          </w:tcPr>
          <w:p w14:paraId="302B379F" w14:textId="77777777" w:rsidR="00786A3A" w:rsidRPr="00D41DD8" w:rsidRDefault="00786A3A" w:rsidP="00F938B2">
            <w:pPr>
              <w:jc w:val="center"/>
              <w:rPr>
                <w:b/>
                <w:lang w:val="lt"/>
              </w:rPr>
            </w:pPr>
            <w:r w:rsidRPr="00D41DD8">
              <w:rPr>
                <w:b/>
                <w:lang w:val="lt"/>
              </w:rPr>
              <w:t>2,54</w:t>
            </w:r>
          </w:p>
        </w:tc>
      </w:tr>
    </w:tbl>
    <w:p w14:paraId="302B37A1" w14:textId="77777777" w:rsidR="00786A3A" w:rsidRPr="00A67E40" w:rsidRDefault="00786A3A" w:rsidP="00786A3A">
      <w:pPr>
        <w:tabs>
          <w:tab w:val="right" w:pos="851"/>
          <w:tab w:val="center" w:pos="4153"/>
          <w:tab w:val="right" w:pos="8306"/>
        </w:tabs>
        <w:jc w:val="both"/>
        <w:rPr>
          <w:sz w:val="24"/>
          <w:szCs w:val="24"/>
          <w:lang w:val="lt-LT"/>
        </w:rPr>
      </w:pPr>
      <w:r w:rsidRPr="00A67E40">
        <w:rPr>
          <w:sz w:val="24"/>
          <w:szCs w:val="24"/>
          <w:lang w:val="lt-LT"/>
        </w:rPr>
        <w:tab/>
        <w:t xml:space="preserve">              </w:t>
      </w:r>
    </w:p>
    <w:p w14:paraId="6464599E" w14:textId="77777777" w:rsidR="00FE681C" w:rsidRDefault="00FE681C" w:rsidP="00FE681C">
      <w:pPr>
        <w:tabs>
          <w:tab w:val="left" w:pos="1296"/>
          <w:tab w:val="center" w:pos="4153"/>
          <w:tab w:val="right" w:pos="8306"/>
        </w:tabs>
        <w:rPr>
          <w:b/>
          <w:sz w:val="24"/>
          <w:szCs w:val="24"/>
          <w:lang w:val="lt-LT"/>
        </w:rPr>
      </w:pPr>
      <w:r>
        <w:rPr>
          <w:b/>
          <w:sz w:val="24"/>
          <w:szCs w:val="24"/>
          <w:lang w:val="lt-LT"/>
        </w:rPr>
        <w:tab/>
      </w:r>
      <w:r w:rsidR="00786A3A" w:rsidRPr="00A67E40">
        <w:rPr>
          <w:b/>
          <w:sz w:val="24"/>
          <w:szCs w:val="24"/>
          <w:lang w:val="lt-LT"/>
        </w:rPr>
        <w:t>Laukiami rezultatai.</w:t>
      </w:r>
    </w:p>
    <w:p w14:paraId="2E7E5EB6" w14:textId="77777777" w:rsidR="00FE681C" w:rsidRDefault="00FE681C" w:rsidP="00FE681C">
      <w:pPr>
        <w:tabs>
          <w:tab w:val="left" w:pos="1296"/>
          <w:tab w:val="center" w:pos="4153"/>
          <w:tab w:val="right" w:pos="8306"/>
        </w:tabs>
        <w:rPr>
          <w:b/>
          <w:sz w:val="24"/>
          <w:szCs w:val="24"/>
          <w:lang w:val="lt-LT"/>
        </w:rPr>
      </w:pPr>
      <w:r>
        <w:rPr>
          <w:b/>
          <w:sz w:val="24"/>
          <w:szCs w:val="24"/>
          <w:lang w:val="lt-LT"/>
        </w:rPr>
        <w:tab/>
      </w:r>
      <w:r w:rsidR="00786A3A">
        <w:rPr>
          <w:sz w:val="24"/>
          <w:szCs w:val="24"/>
          <w:lang w:val="lt-LT"/>
        </w:rPr>
        <w:t>Nustatytos naujos šilumos ir  karšto vandens kainos padengia šilumos gamybos kaštus ir padeda užtikrinti bendrovės finansinį stabilumą ir rentabilumą.</w:t>
      </w:r>
    </w:p>
    <w:p w14:paraId="5288F93F" w14:textId="77777777" w:rsidR="00FE681C" w:rsidRDefault="00FE681C" w:rsidP="00FE681C">
      <w:pPr>
        <w:tabs>
          <w:tab w:val="left" w:pos="1296"/>
          <w:tab w:val="center" w:pos="4153"/>
          <w:tab w:val="right" w:pos="8306"/>
        </w:tabs>
        <w:rPr>
          <w:b/>
          <w:sz w:val="24"/>
          <w:szCs w:val="24"/>
          <w:lang w:val="lt-LT"/>
        </w:rPr>
      </w:pPr>
      <w:r>
        <w:rPr>
          <w:b/>
          <w:sz w:val="24"/>
          <w:szCs w:val="24"/>
          <w:lang w:val="lt-LT"/>
        </w:rPr>
        <w:tab/>
      </w:r>
      <w:r w:rsidR="00786A3A" w:rsidRPr="00A67E40">
        <w:rPr>
          <w:b/>
          <w:bCs/>
          <w:sz w:val="24"/>
          <w:szCs w:val="24"/>
          <w:lang w:val="lt-LT"/>
        </w:rPr>
        <w:t>Finansavimo šaltiniai ir lėšų poreikis</w:t>
      </w:r>
      <w:r w:rsidR="00786A3A" w:rsidRPr="00A67E40">
        <w:rPr>
          <w:sz w:val="24"/>
          <w:szCs w:val="24"/>
          <w:lang w:val="lt-LT"/>
        </w:rPr>
        <w:t>.</w:t>
      </w:r>
    </w:p>
    <w:p w14:paraId="3FADF9E7" w14:textId="77777777" w:rsidR="00FE681C" w:rsidRDefault="00FE681C" w:rsidP="00FE681C">
      <w:pPr>
        <w:tabs>
          <w:tab w:val="left" w:pos="1296"/>
          <w:tab w:val="center" w:pos="4153"/>
          <w:tab w:val="right" w:pos="8306"/>
        </w:tabs>
        <w:rPr>
          <w:b/>
          <w:sz w:val="24"/>
          <w:szCs w:val="24"/>
          <w:lang w:val="lt-LT"/>
        </w:rPr>
      </w:pPr>
      <w:r>
        <w:rPr>
          <w:b/>
          <w:sz w:val="24"/>
          <w:szCs w:val="24"/>
          <w:lang w:val="lt-LT"/>
        </w:rPr>
        <w:lastRenderedPageBreak/>
        <w:tab/>
      </w:r>
      <w:r w:rsidR="00786A3A" w:rsidRPr="00543A4D">
        <w:rPr>
          <w:bCs/>
          <w:color w:val="000000"/>
          <w:sz w:val="24"/>
          <w:szCs w:val="24"/>
          <w:lang w:val="lt-LT"/>
        </w:rPr>
        <w:t>Gyventojai už šildymą ir karštą vandenį moka tokia pat kaina, kaip ir šią paslaugą gaunantys iš AB „Panevėžio energija“. Kainų skirtumą subsidijuoja savivaldybė.</w:t>
      </w:r>
    </w:p>
    <w:p w14:paraId="733D64E6" w14:textId="77777777" w:rsidR="00FE681C" w:rsidRDefault="00FE681C" w:rsidP="00FE681C">
      <w:pPr>
        <w:tabs>
          <w:tab w:val="left" w:pos="1296"/>
          <w:tab w:val="center" w:pos="4153"/>
          <w:tab w:val="right" w:pos="8306"/>
        </w:tabs>
        <w:rPr>
          <w:b/>
          <w:sz w:val="24"/>
          <w:szCs w:val="24"/>
          <w:lang w:val="lt-LT"/>
        </w:rPr>
      </w:pPr>
      <w:r>
        <w:rPr>
          <w:b/>
          <w:sz w:val="24"/>
          <w:szCs w:val="24"/>
          <w:lang w:val="lt-LT"/>
        </w:rPr>
        <w:tab/>
      </w:r>
      <w:r w:rsidR="00786A3A" w:rsidRPr="00A67E40">
        <w:rPr>
          <w:b/>
          <w:bCs/>
          <w:color w:val="000000"/>
          <w:sz w:val="24"/>
          <w:szCs w:val="24"/>
          <w:lang w:val="lt-LT"/>
        </w:rPr>
        <w:t>Suderinamumas su Lietuvos Respublikos galiojančiais teisės norminiais aktais.</w:t>
      </w:r>
    </w:p>
    <w:p w14:paraId="219C43D3" w14:textId="77777777" w:rsidR="00FE681C" w:rsidRDefault="00FE681C" w:rsidP="00FE681C">
      <w:pPr>
        <w:tabs>
          <w:tab w:val="left" w:pos="1296"/>
          <w:tab w:val="center" w:pos="4153"/>
          <w:tab w:val="right" w:pos="8306"/>
        </w:tabs>
        <w:rPr>
          <w:b/>
          <w:sz w:val="24"/>
          <w:szCs w:val="24"/>
          <w:lang w:val="lt-LT"/>
        </w:rPr>
      </w:pPr>
      <w:r>
        <w:rPr>
          <w:b/>
          <w:sz w:val="24"/>
          <w:szCs w:val="24"/>
          <w:lang w:val="lt-LT"/>
        </w:rPr>
        <w:tab/>
      </w:r>
      <w:r w:rsidR="00786A3A" w:rsidRPr="00C009CF">
        <w:rPr>
          <w:sz w:val="24"/>
          <w:szCs w:val="24"/>
          <w:lang w:val="lt-LT" w:eastAsia="en-GB"/>
        </w:rPr>
        <w:t>Projektas neprieštarauja galiojantiems teisės aktams.</w:t>
      </w:r>
    </w:p>
    <w:p w14:paraId="3EA3AD22" w14:textId="77777777" w:rsidR="00FE681C" w:rsidRDefault="00FE681C" w:rsidP="00FE681C">
      <w:pPr>
        <w:tabs>
          <w:tab w:val="left" w:pos="1296"/>
          <w:tab w:val="center" w:pos="4153"/>
          <w:tab w:val="right" w:pos="8306"/>
        </w:tabs>
        <w:rPr>
          <w:b/>
          <w:sz w:val="24"/>
          <w:szCs w:val="24"/>
          <w:lang w:val="lt-LT"/>
        </w:rPr>
      </w:pPr>
      <w:r>
        <w:rPr>
          <w:b/>
          <w:sz w:val="24"/>
          <w:szCs w:val="24"/>
          <w:lang w:val="lt-LT"/>
        </w:rPr>
        <w:tab/>
      </w:r>
      <w:r w:rsidR="00786A3A" w:rsidRPr="00A67E40">
        <w:rPr>
          <w:b/>
          <w:sz w:val="24"/>
          <w:szCs w:val="24"/>
          <w:lang w:val="lt-LT"/>
        </w:rPr>
        <w:t>Antikorupcinis vertinimas</w:t>
      </w:r>
      <w:r w:rsidR="00786A3A" w:rsidRPr="00A67E40">
        <w:rPr>
          <w:sz w:val="24"/>
          <w:szCs w:val="24"/>
          <w:lang w:val="lt-LT"/>
        </w:rPr>
        <w:t>.</w:t>
      </w:r>
    </w:p>
    <w:p w14:paraId="302B37A9" w14:textId="326AAC5B" w:rsidR="00786A3A" w:rsidRPr="00FE681C" w:rsidRDefault="00FE681C" w:rsidP="00FE681C">
      <w:pPr>
        <w:tabs>
          <w:tab w:val="left" w:pos="1296"/>
          <w:tab w:val="center" w:pos="4153"/>
          <w:tab w:val="right" w:pos="8306"/>
        </w:tabs>
        <w:rPr>
          <w:b/>
          <w:sz w:val="24"/>
          <w:szCs w:val="24"/>
          <w:lang w:val="lt-LT"/>
        </w:rPr>
      </w:pPr>
      <w:r>
        <w:rPr>
          <w:b/>
          <w:sz w:val="24"/>
          <w:szCs w:val="24"/>
          <w:lang w:val="lt-LT"/>
        </w:rPr>
        <w:tab/>
      </w:r>
      <w:r w:rsidR="00786A3A" w:rsidRPr="00A66AE1">
        <w:rPr>
          <w:color w:val="000000"/>
          <w:sz w:val="24"/>
          <w:szCs w:val="24"/>
          <w:lang w:val="lt-LT"/>
        </w:rPr>
        <w:t>Teisės akte nenumatoma reguliuoti visuomeninių santykių, susijusių su LR korupcijos prevencijos įstatymo 8 straipsnio 1 dalyje numatytais veiksniais, todėl teisės aktas nėra vertintinas antikorupciniu požiūriu.</w:t>
      </w:r>
    </w:p>
    <w:p w14:paraId="302B37AA" w14:textId="77777777" w:rsidR="00786A3A" w:rsidRPr="00A67E40" w:rsidRDefault="00786A3A" w:rsidP="00786A3A">
      <w:pPr>
        <w:ind w:firstLine="851"/>
        <w:jc w:val="both"/>
        <w:rPr>
          <w:color w:val="000000"/>
          <w:sz w:val="24"/>
          <w:szCs w:val="24"/>
          <w:lang w:val="lt-LT"/>
        </w:rPr>
      </w:pPr>
    </w:p>
    <w:p w14:paraId="302B37AB" w14:textId="77777777" w:rsidR="00786A3A" w:rsidRPr="00A67E40" w:rsidRDefault="00786A3A" w:rsidP="00786A3A">
      <w:pPr>
        <w:ind w:firstLine="851"/>
        <w:jc w:val="both"/>
        <w:rPr>
          <w:sz w:val="24"/>
          <w:szCs w:val="24"/>
          <w:lang w:val="lt-LT"/>
        </w:rPr>
      </w:pPr>
    </w:p>
    <w:p w14:paraId="302B37AC" w14:textId="086A157A" w:rsidR="00786A3A" w:rsidRPr="00FE681C" w:rsidRDefault="00786A3A" w:rsidP="00786A3A">
      <w:pPr>
        <w:ind w:right="197"/>
        <w:rPr>
          <w:sz w:val="24"/>
          <w:szCs w:val="24"/>
        </w:rPr>
      </w:pPr>
      <w:r w:rsidRPr="00FE681C">
        <w:rPr>
          <w:sz w:val="24"/>
          <w:szCs w:val="24"/>
          <w:lang w:val="lt-LT"/>
        </w:rPr>
        <w:t xml:space="preserve">Statybos ir infrastruktūros plėtros skyriaus                            </w:t>
      </w:r>
      <w:r w:rsidR="00FE681C">
        <w:rPr>
          <w:sz w:val="24"/>
          <w:szCs w:val="24"/>
          <w:lang w:val="lt-LT"/>
        </w:rPr>
        <w:tab/>
      </w:r>
      <w:r w:rsidR="00FE681C">
        <w:rPr>
          <w:sz w:val="24"/>
          <w:szCs w:val="24"/>
          <w:lang w:val="lt-LT"/>
        </w:rPr>
        <w:tab/>
      </w:r>
      <w:r w:rsidRPr="00FE681C">
        <w:rPr>
          <w:sz w:val="24"/>
          <w:szCs w:val="24"/>
          <w:lang w:val="lt-LT"/>
        </w:rPr>
        <w:t xml:space="preserve">  Virginijus Lukošiūnas</w:t>
      </w:r>
      <w:r w:rsidRPr="00FE681C">
        <w:rPr>
          <w:sz w:val="24"/>
          <w:szCs w:val="24"/>
          <w:lang w:val="lt-LT"/>
        </w:rPr>
        <w:tab/>
        <w:t>vyriausias specialistas</w:t>
      </w:r>
    </w:p>
    <w:p w14:paraId="302B37AD" w14:textId="77777777" w:rsidR="00786A3A" w:rsidRPr="00FE681C" w:rsidRDefault="00786A3A" w:rsidP="00786A3A">
      <w:pPr>
        <w:spacing w:line="269" w:lineRule="exact"/>
        <w:rPr>
          <w:sz w:val="24"/>
          <w:szCs w:val="24"/>
          <w:lang w:val="lt-LT" w:eastAsia="en-GB"/>
        </w:rPr>
      </w:pPr>
      <w:r w:rsidRPr="00FE681C">
        <w:rPr>
          <w:b/>
          <w:sz w:val="24"/>
          <w:szCs w:val="24"/>
          <w:lang w:val="lt-LT" w:eastAsia="en-GB"/>
        </w:rPr>
        <w:t xml:space="preserve"> </w:t>
      </w:r>
    </w:p>
    <w:p w14:paraId="302B37AE" w14:textId="77777777" w:rsidR="001E3159" w:rsidRPr="00FE681C" w:rsidRDefault="001E3159"/>
    <w:sectPr w:rsidR="001E3159" w:rsidRPr="00FE681C" w:rsidSect="00675A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3A"/>
    <w:rsid w:val="001E3159"/>
    <w:rsid w:val="00675ADD"/>
    <w:rsid w:val="00786A3A"/>
    <w:rsid w:val="00EC3E2E"/>
    <w:rsid w:val="00FE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A3A"/>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86A3A"/>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 Lukošiūnas</dc:creator>
  <cp:lastModifiedBy>Giedrė Kunigelienė</cp:lastModifiedBy>
  <cp:revision>2</cp:revision>
  <dcterms:created xsi:type="dcterms:W3CDTF">2021-11-18T13:27:00Z</dcterms:created>
  <dcterms:modified xsi:type="dcterms:W3CDTF">2021-11-18T13:27:00Z</dcterms:modified>
</cp:coreProperties>
</file>